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218A2" w14:textId="6D10AEBD" w:rsidR="00925172" w:rsidRDefault="00214413" w:rsidP="00CB1511">
      <w:pPr>
        <w:pStyle w:val="Title"/>
      </w:pPr>
      <w:r>
        <w:t>Clipping the wings of p</w:t>
      </w:r>
      <w:r w:rsidR="00D10C79">
        <w:t>hoenix</w:t>
      </w:r>
      <w:r>
        <w:t xml:space="preserve"> companies</w:t>
      </w:r>
      <w:r w:rsidR="00D10C79">
        <w:t xml:space="preserve">  </w:t>
      </w:r>
    </w:p>
    <w:p w14:paraId="0197CBA8" w14:textId="77777777" w:rsidR="00CB1511" w:rsidRPr="00CD5901" w:rsidRDefault="0061639B" w:rsidP="00CD5901">
      <w:pPr>
        <w:rPr>
          <w:i/>
        </w:rPr>
      </w:pPr>
      <w:r w:rsidRPr="00CD5901">
        <w:rPr>
          <w:i/>
        </w:rPr>
        <w:t xml:space="preserve">A </w:t>
      </w:r>
      <w:r w:rsidR="00393422" w:rsidRPr="00CD5901">
        <w:rPr>
          <w:i/>
        </w:rPr>
        <w:t xml:space="preserve">guide </w:t>
      </w:r>
      <w:r w:rsidR="00F51DBB" w:rsidRPr="00CD5901">
        <w:rPr>
          <w:i/>
        </w:rPr>
        <w:t>to measures</w:t>
      </w:r>
      <w:r w:rsidR="00F1458C" w:rsidRPr="00CD5901">
        <w:rPr>
          <w:i/>
        </w:rPr>
        <w:t xml:space="preserve"> </w:t>
      </w:r>
      <w:r w:rsidR="00F51DBB" w:rsidRPr="00CD5901">
        <w:rPr>
          <w:i/>
        </w:rPr>
        <w:t>which discourage</w:t>
      </w:r>
      <w:r w:rsidR="00F1458C" w:rsidRPr="00CD5901">
        <w:rPr>
          <w:i/>
        </w:rPr>
        <w:t xml:space="preserve"> </w:t>
      </w:r>
      <w:r w:rsidR="00AE2A22">
        <w:rPr>
          <w:i/>
        </w:rPr>
        <w:t>‘</w:t>
      </w:r>
      <w:proofErr w:type="spellStart"/>
      <w:r w:rsidR="00F1458C" w:rsidRPr="00CD5901">
        <w:rPr>
          <w:i/>
        </w:rPr>
        <w:t>phoenixing</w:t>
      </w:r>
      <w:proofErr w:type="spellEnd"/>
      <w:r w:rsidR="00AE2A22">
        <w:rPr>
          <w:i/>
        </w:rPr>
        <w:t>’</w:t>
      </w:r>
      <w:r w:rsidR="00F1458C" w:rsidRPr="00CD5901">
        <w:rPr>
          <w:i/>
        </w:rPr>
        <w:t xml:space="preserve"> </w:t>
      </w:r>
      <w:r w:rsidR="00F51DBB" w:rsidRPr="00CD5901">
        <w:rPr>
          <w:i/>
        </w:rPr>
        <w:t xml:space="preserve">of </w:t>
      </w:r>
      <w:r w:rsidR="00F3492C" w:rsidRPr="00CD5901">
        <w:rPr>
          <w:i/>
        </w:rPr>
        <w:t>companies</w:t>
      </w:r>
      <w:r w:rsidR="00F51DBB" w:rsidRPr="00CD5901">
        <w:rPr>
          <w:i/>
        </w:rPr>
        <w:t>.</w:t>
      </w:r>
      <w:r w:rsidR="00393422" w:rsidRPr="00CD5901">
        <w:rPr>
          <w:i/>
        </w:rPr>
        <w:t xml:space="preserve"> </w:t>
      </w:r>
    </w:p>
    <w:p w14:paraId="376CA67A" w14:textId="41E9F631" w:rsidR="007C3DFF" w:rsidRDefault="007C3DFF" w:rsidP="00CB1511">
      <w:r>
        <w:t>Companies can fail</w:t>
      </w:r>
      <w:r w:rsidR="008E0EBB">
        <w:t xml:space="preserve"> for </w:t>
      </w:r>
      <w:r w:rsidR="00614534">
        <w:t>several reasons</w:t>
      </w:r>
      <w:r w:rsidR="008E0EBB">
        <w:t xml:space="preserve"> and</w:t>
      </w:r>
      <w:r w:rsidR="00614534">
        <w:t>,</w:t>
      </w:r>
      <w:r w:rsidR="008E0EBB">
        <w:t xml:space="preserve"> for the most part, these aren’t the result of wrongdoing by the directors. </w:t>
      </w:r>
      <w:r>
        <w:t>For this reason, it’s perfectly legal to start a new company after an old one has become insolvent.</w:t>
      </w:r>
    </w:p>
    <w:p w14:paraId="5E3B63DF" w14:textId="77777777" w:rsidR="00AC318B" w:rsidRDefault="008E0EBB" w:rsidP="00F15A33">
      <w:r>
        <w:t xml:space="preserve">However, </w:t>
      </w:r>
      <w:r w:rsidR="00BD3D84">
        <w:t xml:space="preserve">there are a number of rules that surround carrying on a similar business through a new company after the original company has gone into insolvency. </w:t>
      </w:r>
    </w:p>
    <w:p w14:paraId="2773473E" w14:textId="77777777" w:rsidR="00AC318B" w:rsidRDefault="0005240A" w:rsidP="0005240A">
      <w:r>
        <w:t>Known as ‘</w:t>
      </w:r>
      <w:proofErr w:type="spellStart"/>
      <w:r>
        <w:t>phoenixing</w:t>
      </w:r>
      <w:proofErr w:type="spellEnd"/>
      <w:r>
        <w:t xml:space="preserve">’, this practice </w:t>
      </w:r>
      <w:r w:rsidR="003218AE">
        <w:t>transfers</w:t>
      </w:r>
      <w:r>
        <w:t xml:space="preserve"> the business, but no</w:t>
      </w:r>
      <w:r w:rsidR="003218AE">
        <w:t xml:space="preserve">t the debts, of the insolvent company </w:t>
      </w:r>
      <w:r>
        <w:t xml:space="preserve">to a new </w:t>
      </w:r>
      <w:r w:rsidR="003218AE">
        <w:t>company.</w:t>
      </w:r>
    </w:p>
    <w:p w14:paraId="0C80D837" w14:textId="77777777" w:rsidR="00F15A33" w:rsidRDefault="0005240A" w:rsidP="0005240A">
      <w:r>
        <w:t>But what is th</w:t>
      </w:r>
      <w:r w:rsidR="00AC318B">
        <w:t xml:space="preserve">e problem with </w:t>
      </w:r>
      <w:proofErr w:type="spellStart"/>
      <w:r w:rsidR="00AC318B">
        <w:t>phoenixing</w:t>
      </w:r>
      <w:proofErr w:type="spellEnd"/>
      <w:r w:rsidR="00AC318B">
        <w:t>, and what does the law say about it?</w:t>
      </w:r>
    </w:p>
    <w:p w14:paraId="45F35C6B" w14:textId="77777777" w:rsidR="00F1458C" w:rsidRPr="003E2F71" w:rsidRDefault="003E2F71" w:rsidP="00CB1511">
      <w:pPr>
        <w:pStyle w:val="Heading1"/>
      </w:pPr>
      <w:r w:rsidRPr="003E2F71">
        <w:t>Different tax rates</w:t>
      </w:r>
    </w:p>
    <w:p w14:paraId="242D55AE" w14:textId="77777777" w:rsidR="00AC318B" w:rsidRDefault="003218AE" w:rsidP="000E3EDF">
      <w:pPr>
        <w:pStyle w:val="NoSpacing"/>
      </w:pPr>
      <w:r>
        <w:t xml:space="preserve">In some cases, phoenix companies are created </w:t>
      </w:r>
      <w:r w:rsidR="000D6A21">
        <w:t>as a method of tax avoidance.</w:t>
      </w:r>
    </w:p>
    <w:p w14:paraId="7A3CC1C2" w14:textId="77777777" w:rsidR="00AC318B" w:rsidRDefault="00AC318B" w:rsidP="000E3EDF">
      <w:pPr>
        <w:pStyle w:val="NoSpacing"/>
      </w:pPr>
    </w:p>
    <w:p w14:paraId="07E22F9C" w14:textId="77777777" w:rsidR="002D1BA4" w:rsidRDefault="00F51DBB" w:rsidP="000E3EDF">
      <w:pPr>
        <w:pStyle w:val="NoSpacing"/>
      </w:pPr>
      <w:r>
        <w:t>When a company is liquidated</w:t>
      </w:r>
      <w:r w:rsidR="00E60726">
        <w:t>,</w:t>
      </w:r>
      <w:r w:rsidR="004241F0">
        <w:t xml:space="preserve"> the proceeds received by the shareholders are classified as capital distributions</w:t>
      </w:r>
      <w:r w:rsidR="002D1BA4">
        <w:t xml:space="preserve"> </w:t>
      </w:r>
      <w:r w:rsidR="004241F0">
        <w:t xml:space="preserve">and are subject to capital gains tax (CGT). </w:t>
      </w:r>
    </w:p>
    <w:p w14:paraId="0B49182A" w14:textId="77777777" w:rsidR="000E3EDF" w:rsidRDefault="000E3EDF" w:rsidP="000E3EDF">
      <w:pPr>
        <w:pStyle w:val="NoSpacing"/>
      </w:pPr>
    </w:p>
    <w:p w14:paraId="0E30C858" w14:textId="77777777" w:rsidR="00ED1C66" w:rsidRDefault="004241F0" w:rsidP="000E3EDF">
      <w:pPr>
        <w:pStyle w:val="NoSpacing"/>
      </w:pPr>
      <w:r>
        <w:t>A basic</w:t>
      </w:r>
      <w:r w:rsidR="003E2F71">
        <w:t xml:space="preserve"> rate taxpayer </w:t>
      </w:r>
      <w:r>
        <w:t>pay</w:t>
      </w:r>
      <w:r w:rsidR="003E2F71">
        <w:t>s</w:t>
      </w:r>
      <w:r>
        <w:t xml:space="preserve"> CGT at 10% on those </w:t>
      </w:r>
      <w:r w:rsidR="00C331E0">
        <w:t>distributions</w:t>
      </w:r>
      <w:r>
        <w:t xml:space="preserve">, </w:t>
      </w:r>
      <w:r w:rsidR="00ED1C66">
        <w:t xml:space="preserve">while </w:t>
      </w:r>
      <w:r>
        <w:t>a higher rate taxpaye</w:t>
      </w:r>
      <w:r w:rsidR="003E2F71">
        <w:t>r</w:t>
      </w:r>
      <w:r>
        <w:t xml:space="preserve"> pay</w:t>
      </w:r>
      <w:r w:rsidR="003E2F71">
        <w:t>s</w:t>
      </w:r>
      <w:r>
        <w:t xml:space="preserve"> CGT at 20%. </w:t>
      </w:r>
    </w:p>
    <w:p w14:paraId="00829D95" w14:textId="77777777" w:rsidR="00ED1C66" w:rsidRDefault="00ED1C66" w:rsidP="000E3EDF">
      <w:pPr>
        <w:pStyle w:val="NoSpacing"/>
      </w:pPr>
    </w:p>
    <w:p w14:paraId="2DE406CA" w14:textId="508B2CF4" w:rsidR="00893FED" w:rsidRDefault="00020A79" w:rsidP="000E3EDF">
      <w:pPr>
        <w:pStyle w:val="NoSpacing"/>
      </w:pPr>
      <w:r>
        <w:t>In some cases, the ga</w:t>
      </w:r>
      <w:r w:rsidR="00614534">
        <w:t>in may qualify for entrepreneur</w:t>
      </w:r>
      <w:r>
        <w:t>s</w:t>
      </w:r>
      <w:r w:rsidR="00614534">
        <w:t>’</w:t>
      </w:r>
      <w:r>
        <w:t xml:space="preserve"> relief, which reduces the rate of CGT to 10%. This </w:t>
      </w:r>
      <w:r w:rsidR="00893FED">
        <w:t>could apply</w:t>
      </w:r>
      <w:r>
        <w:t xml:space="preserve"> when</w:t>
      </w:r>
      <w:r w:rsidR="00893FED">
        <w:t>:</w:t>
      </w:r>
      <w:r w:rsidR="004241F0">
        <w:t xml:space="preserve"> </w:t>
      </w:r>
    </w:p>
    <w:p w14:paraId="1FE54CED" w14:textId="77777777" w:rsidR="00BD5523" w:rsidRDefault="00BD5523" w:rsidP="000E3EDF">
      <w:pPr>
        <w:pStyle w:val="NoSpacing"/>
      </w:pPr>
    </w:p>
    <w:p w14:paraId="3AC4E166" w14:textId="77777777" w:rsidR="00893FED" w:rsidRDefault="004241F0" w:rsidP="00BD5523">
      <w:pPr>
        <w:pStyle w:val="NoSpacing"/>
        <w:numPr>
          <w:ilvl w:val="0"/>
          <w:numId w:val="3"/>
        </w:numPr>
      </w:pPr>
      <w:r>
        <w:t>the compa</w:t>
      </w:r>
      <w:r w:rsidR="003E2F71">
        <w:t xml:space="preserve">ny </w:t>
      </w:r>
      <w:r w:rsidR="00705ACD">
        <w:t xml:space="preserve">has been </w:t>
      </w:r>
      <w:r w:rsidR="003E2F71">
        <w:t>trading (not just passively investing)</w:t>
      </w:r>
    </w:p>
    <w:p w14:paraId="2E07D837" w14:textId="609767C3" w:rsidR="00F51DBB" w:rsidRDefault="004241F0" w:rsidP="00BD5523">
      <w:pPr>
        <w:pStyle w:val="NoSpacing"/>
        <w:numPr>
          <w:ilvl w:val="0"/>
          <w:numId w:val="3"/>
        </w:numPr>
      </w:pPr>
      <w:r>
        <w:t xml:space="preserve">the shareholder was a director or employee of the </w:t>
      </w:r>
      <w:r w:rsidR="002D1BA4">
        <w:t>company for at least 12 months</w:t>
      </w:r>
      <w:r w:rsidR="00ED1C66">
        <w:t>,</w:t>
      </w:r>
      <w:r w:rsidR="002D1BA4">
        <w:t xml:space="preserve"> ending with the day </w:t>
      </w:r>
      <w:r w:rsidR="003E2F71">
        <w:t>it</w:t>
      </w:r>
      <w:r w:rsidR="002D1BA4">
        <w:t xml:space="preserve"> ceased </w:t>
      </w:r>
      <w:r w:rsidR="003E2F71">
        <w:t xml:space="preserve">to </w:t>
      </w:r>
      <w:r w:rsidR="002D1BA4">
        <w:t>trad</w:t>
      </w:r>
      <w:r w:rsidR="003E2F71">
        <w:t>e</w:t>
      </w:r>
    </w:p>
    <w:p w14:paraId="2B748540" w14:textId="26D568D7" w:rsidR="00614534" w:rsidRDefault="0067431B" w:rsidP="00BD5523">
      <w:pPr>
        <w:pStyle w:val="NoSpacing"/>
        <w:numPr>
          <w:ilvl w:val="0"/>
          <w:numId w:val="3"/>
        </w:numPr>
      </w:pPr>
      <w:proofErr w:type="gramStart"/>
      <w:r>
        <w:t>an</w:t>
      </w:r>
      <w:proofErr w:type="gramEnd"/>
      <w:r>
        <w:t xml:space="preserve"> individual holds</w:t>
      </w:r>
      <w:r w:rsidR="00614534">
        <w:t xml:space="preserve"> at least 5% of the shares. </w:t>
      </w:r>
    </w:p>
    <w:p w14:paraId="7DFE8327" w14:textId="77777777" w:rsidR="000E3EDF" w:rsidRDefault="000E3EDF" w:rsidP="000E3EDF">
      <w:pPr>
        <w:pStyle w:val="NoSpacing"/>
      </w:pPr>
    </w:p>
    <w:p w14:paraId="27FA72D2" w14:textId="2F7947C9" w:rsidR="00ED1C66" w:rsidRDefault="002D1BA4" w:rsidP="000E3EDF">
      <w:pPr>
        <w:pStyle w:val="NoSpacing"/>
      </w:pPr>
      <w:r>
        <w:t>In contrast</w:t>
      </w:r>
      <w:r w:rsidR="00C331E0">
        <w:t>, where</w:t>
      </w:r>
      <w:r>
        <w:t xml:space="preserve"> the </w:t>
      </w:r>
      <w:r w:rsidR="00EC45E2">
        <w:t>profits</w:t>
      </w:r>
      <w:r>
        <w:t xml:space="preserve"> </w:t>
      </w:r>
      <w:r w:rsidR="00EC45E2">
        <w:t>generated by</w:t>
      </w:r>
      <w:r>
        <w:t xml:space="preserve"> the company </w:t>
      </w:r>
      <w:r w:rsidR="00EC45E2">
        <w:t>are</w:t>
      </w:r>
      <w:r>
        <w:t xml:space="preserve"> withdrawn as salary</w:t>
      </w:r>
      <w:r w:rsidR="00C331E0">
        <w:t>, the</w:t>
      </w:r>
      <w:r w:rsidR="004C2394">
        <w:t xml:space="preserve"> </w:t>
      </w:r>
      <w:r w:rsidR="00C331E0">
        <w:t>individual</w:t>
      </w:r>
      <w:r w:rsidR="004C2394">
        <w:t xml:space="preserve"> pay</w:t>
      </w:r>
      <w:r w:rsidR="00EC45E2">
        <w:t>s</w:t>
      </w:r>
      <w:r w:rsidR="000E3EDF">
        <w:t xml:space="preserve"> income </w:t>
      </w:r>
      <w:r w:rsidR="004C2394">
        <w:t>tax</w:t>
      </w:r>
      <w:r w:rsidR="00C331E0">
        <w:t xml:space="preserve"> </w:t>
      </w:r>
      <w:r w:rsidR="004C2394">
        <w:t xml:space="preserve">at rates of </w:t>
      </w:r>
      <w:r w:rsidR="00C331E0">
        <w:t>20% to</w:t>
      </w:r>
      <w:r w:rsidR="004C2394">
        <w:t xml:space="preserve"> 45%</w:t>
      </w:r>
      <w:r w:rsidR="00CB1511">
        <w:t>, or</w:t>
      </w:r>
      <w:r w:rsidR="004C2394">
        <w:t xml:space="preserve"> </w:t>
      </w:r>
      <w:r w:rsidR="00C331E0">
        <w:t xml:space="preserve">19% to </w:t>
      </w:r>
      <w:r w:rsidR="004C2394">
        <w:t>46% in Scotland, plus</w:t>
      </w:r>
      <w:r w:rsidR="00614534">
        <w:t xml:space="preserve"> 12</w:t>
      </w:r>
      <w:r w:rsidR="00C331E0">
        <w:t>% or</w:t>
      </w:r>
      <w:r w:rsidR="004C2394">
        <w:t xml:space="preserve"> 2% national insurance. Funds paid out as dividends </w:t>
      </w:r>
      <w:r w:rsidR="00EC45E2">
        <w:t>are</w:t>
      </w:r>
      <w:r w:rsidR="004C2394">
        <w:t xml:space="preserve"> taxed at </w:t>
      </w:r>
      <w:r w:rsidR="00C331E0">
        <w:t>7.5%, 32.5% or</w:t>
      </w:r>
      <w:r w:rsidR="004C2394">
        <w:t xml:space="preserve"> 38.1%</w:t>
      </w:r>
      <w:r w:rsidR="00EC45E2">
        <w:t xml:space="preserve">. </w:t>
      </w:r>
    </w:p>
    <w:p w14:paraId="4E139B4F" w14:textId="77777777" w:rsidR="00ED1C66" w:rsidRDefault="00ED1C66" w:rsidP="000E3EDF">
      <w:pPr>
        <w:pStyle w:val="NoSpacing"/>
      </w:pPr>
    </w:p>
    <w:p w14:paraId="613A084E" w14:textId="4987A2F9" w:rsidR="000E3EDF" w:rsidRDefault="00EC45E2" w:rsidP="000E3EDF">
      <w:pPr>
        <w:pStyle w:val="NoSpacing"/>
      </w:pPr>
      <w:r>
        <w:t>By extracting funds</w:t>
      </w:r>
      <w:r w:rsidR="00AC74E8">
        <w:t xml:space="preserve"> from the company</w:t>
      </w:r>
      <w:r>
        <w:t xml:space="preserve"> </w:t>
      </w:r>
      <w:r w:rsidR="003E2F71">
        <w:t xml:space="preserve">as </w:t>
      </w:r>
      <w:r>
        <w:t xml:space="preserve">a </w:t>
      </w:r>
      <w:r w:rsidR="00C331E0">
        <w:t>capital</w:t>
      </w:r>
      <w:r w:rsidR="0009568F">
        <w:t xml:space="preserve"> distribution</w:t>
      </w:r>
      <w:r w:rsidR="00ED1C66">
        <w:t>,</w:t>
      </w:r>
      <w:r>
        <w:t xml:space="preserve"> t</w:t>
      </w:r>
      <w:r w:rsidR="0009568F">
        <w:t>he</w:t>
      </w:r>
      <w:r>
        <w:t xml:space="preserve"> </w:t>
      </w:r>
      <w:r w:rsidR="0009568F">
        <w:t>shareholder</w:t>
      </w:r>
      <w:r w:rsidR="000E3EDF">
        <w:t xml:space="preserve"> </w:t>
      </w:r>
      <w:r w:rsidR="00AC74E8">
        <w:t xml:space="preserve">can </w:t>
      </w:r>
      <w:r w:rsidR="000E3EDF">
        <w:t>save significant amounts of tax</w:t>
      </w:r>
      <w:r w:rsidR="0009568F">
        <w:t>.</w:t>
      </w:r>
    </w:p>
    <w:p w14:paraId="0A5D73AD" w14:textId="77777777" w:rsidR="003E2F71" w:rsidRPr="003E2F71" w:rsidRDefault="003E2F71" w:rsidP="00CB1511">
      <w:pPr>
        <w:pStyle w:val="Heading1"/>
      </w:pPr>
      <w:r w:rsidRPr="003E2F71">
        <w:t xml:space="preserve">The problem </w:t>
      </w:r>
    </w:p>
    <w:p w14:paraId="3E2B776F" w14:textId="77777777" w:rsidR="00ED1C66" w:rsidRDefault="0009568F" w:rsidP="000E3EDF">
      <w:pPr>
        <w:pStyle w:val="NoSpacing"/>
      </w:pPr>
      <w:r>
        <w:t xml:space="preserve">Some </w:t>
      </w:r>
      <w:r w:rsidR="00304A60">
        <w:t>people</w:t>
      </w:r>
      <w:r>
        <w:t xml:space="preserve"> run </w:t>
      </w:r>
      <w:r w:rsidR="00304A60">
        <w:t>their</w:t>
      </w:r>
      <w:r>
        <w:t xml:space="preserve"> </w:t>
      </w:r>
      <w:r w:rsidR="00304A60">
        <w:t xml:space="preserve">business through </w:t>
      </w:r>
      <w:r w:rsidR="000E3EDF">
        <w:t xml:space="preserve">a </w:t>
      </w:r>
      <w:r>
        <w:t xml:space="preserve">company </w:t>
      </w:r>
      <w:r w:rsidR="00AC74E8">
        <w:t xml:space="preserve">and </w:t>
      </w:r>
      <w:r>
        <w:t xml:space="preserve">retain as much </w:t>
      </w:r>
      <w:r w:rsidR="00304A60">
        <w:t>value</w:t>
      </w:r>
      <w:r>
        <w:t xml:space="preserve"> </w:t>
      </w:r>
      <w:r w:rsidR="00304A60">
        <w:t>as possible</w:t>
      </w:r>
      <w:r w:rsidR="00AC74E8">
        <w:t xml:space="preserve"> within the company</w:t>
      </w:r>
      <w:r w:rsidR="00304A60">
        <w:t xml:space="preserve"> </w:t>
      </w:r>
      <w:r w:rsidR="000E3EDF">
        <w:t>until</w:t>
      </w:r>
      <w:r w:rsidR="00AC74E8">
        <w:t xml:space="preserve"> it is wound</w:t>
      </w:r>
      <w:r w:rsidR="00893FED">
        <w:t xml:space="preserve"> </w:t>
      </w:r>
      <w:r w:rsidR="00AC74E8">
        <w:t xml:space="preserve">up. </w:t>
      </w:r>
    </w:p>
    <w:p w14:paraId="2491B105" w14:textId="77777777" w:rsidR="00ED1C66" w:rsidRDefault="00ED1C66" w:rsidP="000E3EDF">
      <w:pPr>
        <w:pStyle w:val="NoSpacing"/>
      </w:pPr>
    </w:p>
    <w:p w14:paraId="0440E28A" w14:textId="77777777" w:rsidR="00ED1C66" w:rsidRDefault="00F02323" w:rsidP="000E3EDF">
      <w:pPr>
        <w:pStyle w:val="NoSpacing"/>
      </w:pPr>
      <w:r>
        <w:t>At that stage</w:t>
      </w:r>
      <w:r w:rsidR="00ED1C66">
        <w:t>,</w:t>
      </w:r>
      <w:r>
        <w:t xml:space="preserve"> the</w:t>
      </w:r>
      <w:r w:rsidR="00AC74E8">
        <w:t xml:space="preserve"> net assets are distributed to the shareholders, </w:t>
      </w:r>
      <w:r w:rsidR="00A27B20">
        <w:t xml:space="preserve">who </w:t>
      </w:r>
      <w:r w:rsidR="00AC74E8">
        <w:t>pay</w:t>
      </w:r>
      <w:r w:rsidR="00304A60">
        <w:t xml:space="preserve"> </w:t>
      </w:r>
      <w:r w:rsidR="00AC74E8">
        <w:t>CGT</w:t>
      </w:r>
      <w:r w:rsidR="00304A60">
        <w:t xml:space="preserve"> at 10% </w:t>
      </w:r>
      <w:r w:rsidR="00607167">
        <w:t>or</w:t>
      </w:r>
      <w:r w:rsidR="00304A60">
        <w:t xml:space="preserve"> 20</w:t>
      </w:r>
      <w:r w:rsidR="000E3EDF">
        <w:t>%</w:t>
      </w:r>
      <w:r w:rsidR="00AC74E8">
        <w:t xml:space="preserve"> on the value they receive</w:t>
      </w:r>
      <w:r w:rsidR="00304A60">
        <w:t xml:space="preserve">. </w:t>
      </w:r>
    </w:p>
    <w:p w14:paraId="483F73D1" w14:textId="77777777" w:rsidR="00ED1C66" w:rsidRDefault="00ED1C66" w:rsidP="000E3EDF">
      <w:pPr>
        <w:pStyle w:val="NoSpacing"/>
      </w:pPr>
    </w:p>
    <w:p w14:paraId="454AEECB" w14:textId="6323CB62" w:rsidR="000E3EDF" w:rsidRDefault="00AC74E8" w:rsidP="00BD5523">
      <w:pPr>
        <w:pStyle w:val="NoSpacing"/>
      </w:pPr>
      <w:r>
        <w:lastRenderedPageBreak/>
        <w:t>In order to continue the business</w:t>
      </w:r>
      <w:r w:rsidR="00A27B20">
        <w:t>,</w:t>
      </w:r>
      <w:r w:rsidR="0067431B">
        <w:t xml:space="preserve"> it’</w:t>
      </w:r>
      <w:r>
        <w:t xml:space="preserve">s reborn in </w:t>
      </w:r>
      <w:r w:rsidR="00607167">
        <w:t>a</w:t>
      </w:r>
      <w:r w:rsidR="00304A60">
        <w:t xml:space="preserve"> new company</w:t>
      </w:r>
      <w:r>
        <w:t xml:space="preserve"> </w:t>
      </w:r>
      <w:r w:rsidR="00F02323">
        <w:t>and</w:t>
      </w:r>
      <w:r w:rsidR="00607167">
        <w:t xml:space="preserve"> </w:t>
      </w:r>
      <w:proofErr w:type="gramStart"/>
      <w:r w:rsidR="000E3EDF">
        <w:t>anot</w:t>
      </w:r>
      <w:bookmarkStart w:id="0" w:name="_GoBack"/>
      <w:bookmarkEnd w:id="0"/>
      <w:r w:rsidR="000E3EDF">
        <w:t>her</w:t>
      </w:r>
      <w:r w:rsidR="00607167">
        <w:t xml:space="preserve"> liquidation</w:t>
      </w:r>
      <w:proofErr w:type="gramEnd"/>
      <w:r w:rsidR="000E3EDF">
        <w:t xml:space="preserve"> </w:t>
      </w:r>
      <w:r w:rsidR="008E1045">
        <w:t xml:space="preserve">may </w:t>
      </w:r>
      <w:r w:rsidR="00F02323">
        <w:t xml:space="preserve">be </w:t>
      </w:r>
      <w:r w:rsidR="000E3EDF">
        <w:t>initiated</w:t>
      </w:r>
      <w:r w:rsidR="00607167">
        <w:t xml:space="preserve"> after a period of trading</w:t>
      </w:r>
      <w:r w:rsidR="004C0E47">
        <w:t>.</w:t>
      </w:r>
    </w:p>
    <w:p w14:paraId="66B7C1BA" w14:textId="77777777" w:rsidR="00CB1511" w:rsidRDefault="00020A79" w:rsidP="00CB1511">
      <w:pPr>
        <w:pStyle w:val="Heading1"/>
      </w:pPr>
      <w:r>
        <w:t xml:space="preserve">What does the law say? </w:t>
      </w:r>
    </w:p>
    <w:p w14:paraId="328FF08F" w14:textId="77777777" w:rsidR="00F02323" w:rsidRDefault="00590DD2" w:rsidP="00EC45E2">
      <w:pPr>
        <w:pStyle w:val="NoSpacing"/>
      </w:pPr>
      <w:r>
        <w:t xml:space="preserve">Since </w:t>
      </w:r>
      <w:r w:rsidR="000E3EDF">
        <w:t>6 April 2016</w:t>
      </w:r>
      <w:r w:rsidR="00ED1C66">
        <w:t>,</w:t>
      </w:r>
      <w:r w:rsidR="000E3EDF">
        <w:t xml:space="preserve"> a</w:t>
      </w:r>
      <w:r w:rsidR="000E3EDF" w:rsidRPr="000E3EDF">
        <w:t xml:space="preserve"> </w:t>
      </w:r>
      <w:r w:rsidR="000E3EDF">
        <w:t xml:space="preserve">targeted anti-avoidance rule (TAAR) </w:t>
      </w:r>
      <w:r w:rsidR="00CB1511">
        <w:t xml:space="preserve">has applied </w:t>
      </w:r>
      <w:r w:rsidR="000E3EDF">
        <w:t xml:space="preserve">to capital distributions made from </w:t>
      </w:r>
      <w:r w:rsidR="0015733B">
        <w:t>‘</w:t>
      </w:r>
      <w:r w:rsidR="000E3EDF">
        <w:t>close</w:t>
      </w:r>
      <w:r w:rsidR="0015733B">
        <w:t>’</w:t>
      </w:r>
      <w:r w:rsidR="000E3EDF">
        <w:t xml:space="preserve"> companies </w:t>
      </w:r>
      <w:r w:rsidR="00CB1511">
        <w:t xml:space="preserve">in </w:t>
      </w:r>
      <w:r w:rsidR="00AC74E8">
        <w:t>the process of liquidati</w:t>
      </w:r>
      <w:r w:rsidR="00CB1511">
        <w:t>on</w:t>
      </w:r>
      <w:r w:rsidR="000E3EDF">
        <w:t>.</w:t>
      </w:r>
    </w:p>
    <w:p w14:paraId="570C7EAE" w14:textId="77777777" w:rsidR="004B2118" w:rsidRDefault="004B2118" w:rsidP="00EC45E2">
      <w:pPr>
        <w:pStyle w:val="NoSpacing"/>
      </w:pPr>
    </w:p>
    <w:p w14:paraId="1564C629" w14:textId="4AD5A9AC" w:rsidR="00EC45E2" w:rsidRDefault="00EC45E2" w:rsidP="00EC45E2">
      <w:pPr>
        <w:pStyle w:val="NoSpacing"/>
      </w:pPr>
      <w:r>
        <w:t>Th</w:t>
      </w:r>
      <w:r w:rsidR="00F02323">
        <w:t>e</w:t>
      </w:r>
      <w:r>
        <w:t xml:space="preserve"> TAAR </w:t>
      </w:r>
      <w:r w:rsidR="00F02323">
        <w:t xml:space="preserve">requires </w:t>
      </w:r>
      <w:r w:rsidR="0067431B">
        <w:t>a</w:t>
      </w:r>
      <w:r w:rsidR="00F02323">
        <w:t xml:space="preserve"> taxpayer to pay </w:t>
      </w:r>
      <w:r>
        <w:t>income tax</w:t>
      </w:r>
      <w:r w:rsidR="00F02323">
        <w:t>,</w:t>
      </w:r>
      <w:r>
        <w:t xml:space="preserve"> rather than CGT</w:t>
      </w:r>
      <w:r w:rsidR="00F02323">
        <w:t>,</w:t>
      </w:r>
      <w:r>
        <w:t xml:space="preserve"> on the distribution </w:t>
      </w:r>
      <w:r w:rsidR="000E3EDF">
        <w:t>if all of the</w:t>
      </w:r>
      <w:r w:rsidR="0067431B">
        <w:t xml:space="preserve"> following </w:t>
      </w:r>
      <w:r>
        <w:t>conditions are met:</w:t>
      </w:r>
    </w:p>
    <w:p w14:paraId="5612CA6A" w14:textId="77777777" w:rsidR="00ED1C66" w:rsidRDefault="00ED1C66" w:rsidP="00EC45E2">
      <w:pPr>
        <w:pStyle w:val="NoSpacing"/>
      </w:pPr>
    </w:p>
    <w:p w14:paraId="29EC3534" w14:textId="3C5495EB" w:rsidR="00EC45E2" w:rsidRDefault="00EC45E2" w:rsidP="0067431B">
      <w:pPr>
        <w:pStyle w:val="NoSpacing"/>
        <w:numPr>
          <w:ilvl w:val="0"/>
          <w:numId w:val="6"/>
        </w:numPr>
      </w:pPr>
      <w:r>
        <w:t>The individual</w:t>
      </w:r>
      <w:r w:rsidR="004B2118">
        <w:t xml:space="preserve"> </w:t>
      </w:r>
      <w:r w:rsidR="0067431B">
        <w:t>receiving</w:t>
      </w:r>
      <w:r w:rsidR="004B2118">
        <w:t xml:space="preserve"> the distribution had</w:t>
      </w:r>
      <w:r>
        <w:t xml:space="preserve"> at least a 5% interest in</w:t>
      </w:r>
      <w:r w:rsidR="00614534">
        <w:t xml:space="preserve"> the</w:t>
      </w:r>
      <w:r>
        <w:t xml:space="preserve"> </w:t>
      </w:r>
      <w:r w:rsidR="006B0982">
        <w:t>c</w:t>
      </w:r>
      <w:r>
        <w:t>ompany</w:t>
      </w:r>
      <w:r w:rsidR="004B2118">
        <w:t xml:space="preserve"> immediately before the winding up</w:t>
      </w:r>
      <w:r w:rsidR="00F04327">
        <w:t>.</w:t>
      </w:r>
      <w:r>
        <w:t xml:space="preserve"> </w:t>
      </w:r>
    </w:p>
    <w:p w14:paraId="65C1C68F" w14:textId="77777777" w:rsidR="00590DD2" w:rsidRDefault="00590DD2" w:rsidP="0067431B">
      <w:pPr>
        <w:pStyle w:val="NoSpacing"/>
      </w:pPr>
    </w:p>
    <w:p w14:paraId="55EB3E67" w14:textId="1408337D" w:rsidR="00EC45E2" w:rsidRDefault="00EC45E2" w:rsidP="0067431B">
      <w:pPr>
        <w:pStyle w:val="NoSpacing"/>
        <w:numPr>
          <w:ilvl w:val="0"/>
          <w:numId w:val="6"/>
        </w:numPr>
      </w:pPr>
      <w:r>
        <w:t xml:space="preserve">The company </w:t>
      </w:r>
      <w:r w:rsidR="004B2118">
        <w:t>wa</w:t>
      </w:r>
      <w:r>
        <w:t xml:space="preserve">s </w:t>
      </w:r>
      <w:r w:rsidR="0015733B">
        <w:t>‘</w:t>
      </w:r>
      <w:r>
        <w:t>close</w:t>
      </w:r>
      <w:r w:rsidR="0015733B">
        <w:t>’</w:t>
      </w:r>
      <w:r>
        <w:t xml:space="preserve"> </w:t>
      </w:r>
      <w:r w:rsidR="004B2118">
        <w:t>at any point in</w:t>
      </w:r>
      <w:r>
        <w:t xml:space="preserve"> the last two years</w:t>
      </w:r>
      <w:r w:rsidR="0067431B">
        <w:t>,</w:t>
      </w:r>
      <w:r>
        <w:t xml:space="preserve"> </w:t>
      </w:r>
      <w:r w:rsidR="004B2118">
        <w:t>ending with</w:t>
      </w:r>
      <w:r>
        <w:t xml:space="preserve"> the </w:t>
      </w:r>
      <w:r w:rsidR="004B2118">
        <w:t xml:space="preserve">start of the </w:t>
      </w:r>
      <w:r>
        <w:t>winding</w:t>
      </w:r>
      <w:r w:rsidR="00590DD2">
        <w:t xml:space="preserve"> </w:t>
      </w:r>
      <w:r>
        <w:t>up</w:t>
      </w:r>
      <w:r w:rsidR="00F04327">
        <w:t>.</w:t>
      </w:r>
    </w:p>
    <w:p w14:paraId="3CC5E92F" w14:textId="77777777" w:rsidR="00590DD2" w:rsidRDefault="00590DD2" w:rsidP="0067431B">
      <w:pPr>
        <w:pStyle w:val="NoSpacing"/>
      </w:pPr>
    </w:p>
    <w:p w14:paraId="0F8F7BE8" w14:textId="0220FC0A" w:rsidR="00EC45E2" w:rsidRDefault="00EC45E2" w:rsidP="0067431B">
      <w:pPr>
        <w:pStyle w:val="NoSpacing"/>
        <w:numPr>
          <w:ilvl w:val="0"/>
          <w:numId w:val="6"/>
        </w:numPr>
      </w:pPr>
      <w:r>
        <w:t>The individual receiv</w:t>
      </w:r>
      <w:r w:rsidR="0067431B">
        <w:t>ing</w:t>
      </w:r>
      <w:r>
        <w:t xml:space="preserve"> the distribution</w:t>
      </w:r>
      <w:r w:rsidR="00B6136C">
        <w:t xml:space="preserve"> continues to be </w:t>
      </w:r>
      <w:r>
        <w:t xml:space="preserve">involved in the </w:t>
      </w:r>
      <w:r w:rsidR="00456898">
        <w:t>‘</w:t>
      </w:r>
      <w:r>
        <w:t>same or similar trade or activity</w:t>
      </w:r>
      <w:r w:rsidR="00C640C6">
        <w:t>’</w:t>
      </w:r>
      <w:r>
        <w:t xml:space="preserve"> as </w:t>
      </w:r>
      <w:r w:rsidR="00B6136C">
        <w:t>that of the wound</w:t>
      </w:r>
      <w:r w:rsidR="004B2118">
        <w:t>-</w:t>
      </w:r>
      <w:r w:rsidR="00B6136C">
        <w:t xml:space="preserve">up </w:t>
      </w:r>
      <w:r>
        <w:t>company, within two years</w:t>
      </w:r>
      <w:r w:rsidR="00B6136C">
        <w:t xml:space="preserve"> from </w:t>
      </w:r>
      <w:r>
        <w:t>the distribution</w:t>
      </w:r>
      <w:r w:rsidR="00F04327">
        <w:t>.</w:t>
      </w:r>
    </w:p>
    <w:p w14:paraId="0E911FDE" w14:textId="77777777" w:rsidR="00590DD2" w:rsidRDefault="00590DD2" w:rsidP="0067431B">
      <w:pPr>
        <w:pStyle w:val="NoSpacing"/>
      </w:pPr>
    </w:p>
    <w:p w14:paraId="70803E0B" w14:textId="78284F3E" w:rsidR="00EC45E2" w:rsidRDefault="00B6136C" w:rsidP="0067431B">
      <w:pPr>
        <w:pStyle w:val="NoSpacing"/>
        <w:numPr>
          <w:ilvl w:val="0"/>
          <w:numId w:val="6"/>
        </w:numPr>
      </w:pPr>
      <w:r>
        <w:t>It is reasonable to assume t</w:t>
      </w:r>
      <w:r w:rsidR="00EC45E2">
        <w:t>he main purpose</w:t>
      </w:r>
      <w:r w:rsidR="0067431B">
        <w:t>(</w:t>
      </w:r>
      <w:r>
        <w:t>s</w:t>
      </w:r>
      <w:r w:rsidR="0067431B">
        <w:t>)</w:t>
      </w:r>
      <w:r>
        <w:t xml:space="preserve"> </w:t>
      </w:r>
      <w:r w:rsidR="00EC45E2">
        <w:t>of the winding</w:t>
      </w:r>
      <w:r w:rsidR="00FB497D">
        <w:t xml:space="preserve"> </w:t>
      </w:r>
      <w:r w:rsidR="00EC45E2">
        <w:t>up is</w:t>
      </w:r>
      <w:r>
        <w:t xml:space="preserve"> the avoidance or</w:t>
      </w:r>
      <w:r w:rsidR="00EC45E2">
        <w:t xml:space="preserve"> reduc</w:t>
      </w:r>
      <w:r>
        <w:t xml:space="preserve">tion of </w:t>
      </w:r>
      <w:r w:rsidR="00EC45E2">
        <w:t>income tax.</w:t>
      </w:r>
    </w:p>
    <w:p w14:paraId="02D92742" w14:textId="77777777" w:rsidR="00EC45E2" w:rsidRDefault="00EC45E2" w:rsidP="0067431B">
      <w:pPr>
        <w:pStyle w:val="NoSpacing"/>
      </w:pPr>
    </w:p>
    <w:p w14:paraId="5FC3BACF" w14:textId="77777777" w:rsidR="002D3001" w:rsidRPr="006F18DA" w:rsidRDefault="002D3001" w:rsidP="002D3001">
      <w:pPr>
        <w:pStyle w:val="Heading2"/>
      </w:pPr>
      <w:r>
        <w:t>What kind of business does the law apply to?</w:t>
      </w:r>
    </w:p>
    <w:p w14:paraId="72E27B01" w14:textId="77777777" w:rsidR="002D3001" w:rsidRDefault="002D3001" w:rsidP="002D3001">
      <w:pPr>
        <w:pStyle w:val="NoSpacing"/>
      </w:pPr>
      <w:r>
        <w:t xml:space="preserve">The law applies if a person carries on the same or similar business: </w:t>
      </w:r>
    </w:p>
    <w:p w14:paraId="7595C41B" w14:textId="77777777" w:rsidR="002D3001" w:rsidRDefault="002D3001" w:rsidP="002D3001">
      <w:pPr>
        <w:pStyle w:val="NoSpacing"/>
      </w:pPr>
    </w:p>
    <w:p w14:paraId="0D912BA2" w14:textId="77777777" w:rsidR="002D3001" w:rsidRDefault="002D3001" w:rsidP="002D3001">
      <w:pPr>
        <w:pStyle w:val="NoSpacing"/>
        <w:numPr>
          <w:ilvl w:val="0"/>
          <w:numId w:val="3"/>
        </w:numPr>
      </w:pPr>
      <w:r>
        <w:t xml:space="preserve">as a partner in a partnership </w:t>
      </w:r>
    </w:p>
    <w:p w14:paraId="1543A804" w14:textId="77777777" w:rsidR="002D3001" w:rsidRDefault="002D3001" w:rsidP="002D3001">
      <w:pPr>
        <w:pStyle w:val="NoSpacing"/>
        <w:numPr>
          <w:ilvl w:val="0"/>
          <w:numId w:val="3"/>
        </w:numPr>
      </w:pPr>
      <w:r>
        <w:t>as a sole trader</w:t>
      </w:r>
    </w:p>
    <w:p w14:paraId="5F9163D7" w14:textId="77777777" w:rsidR="002D3001" w:rsidRDefault="002D3001" w:rsidP="002D3001">
      <w:pPr>
        <w:pStyle w:val="NoSpacing"/>
        <w:numPr>
          <w:ilvl w:val="0"/>
          <w:numId w:val="3"/>
        </w:numPr>
      </w:pPr>
      <w:r>
        <w:t xml:space="preserve">in a company in which they or someone connected with them holds at least a 5% interest. </w:t>
      </w:r>
    </w:p>
    <w:p w14:paraId="67B00665" w14:textId="77777777" w:rsidR="000E3EDF" w:rsidRPr="000E3EDF" w:rsidRDefault="00DC7DC9" w:rsidP="00CB1511">
      <w:pPr>
        <w:pStyle w:val="Heading2"/>
      </w:pPr>
      <w:r>
        <w:t xml:space="preserve">What is </w:t>
      </w:r>
      <w:r w:rsidR="0015733B">
        <w:t>‘</w:t>
      </w:r>
      <w:r>
        <w:t>close</w:t>
      </w:r>
      <w:r w:rsidR="0015733B">
        <w:t>’</w:t>
      </w:r>
      <w:r w:rsidR="00AD5EB4">
        <w:t>?</w:t>
      </w:r>
      <w:r w:rsidR="000E3EDF" w:rsidRPr="000E3EDF">
        <w:t xml:space="preserve">  </w:t>
      </w:r>
    </w:p>
    <w:p w14:paraId="66F241FB" w14:textId="206EBDC0" w:rsidR="0019052B" w:rsidRDefault="000E3EDF" w:rsidP="00EC45E2">
      <w:pPr>
        <w:pStyle w:val="NoSpacing"/>
      </w:pPr>
      <w:r>
        <w:t>A close company</w:t>
      </w:r>
      <w:r w:rsidR="00F3492C">
        <w:t xml:space="preserve"> </w:t>
      </w:r>
      <w:r w:rsidR="0067431B">
        <w:t>is controlled by its directors</w:t>
      </w:r>
      <w:r w:rsidR="00F3492C">
        <w:t xml:space="preserve"> or by five </w:t>
      </w:r>
      <w:r w:rsidR="00ED4045">
        <w:t xml:space="preserve">or </w:t>
      </w:r>
      <w:r w:rsidR="0067431B">
        <w:t>fewer participators,</w:t>
      </w:r>
      <w:r w:rsidR="00F3492C">
        <w:t xml:space="preserve"> broadly the shareholders. Most private companies will be </w:t>
      </w:r>
      <w:r w:rsidR="0015733B">
        <w:t>‘</w:t>
      </w:r>
      <w:r w:rsidR="00F3492C">
        <w:t>close</w:t>
      </w:r>
      <w:r w:rsidR="0015733B">
        <w:t>’</w:t>
      </w:r>
      <w:r w:rsidR="00F3492C">
        <w:t>.</w:t>
      </w:r>
      <w:r w:rsidR="003E2F71">
        <w:t xml:space="preserve"> </w:t>
      </w:r>
    </w:p>
    <w:p w14:paraId="76DA2C99" w14:textId="77777777" w:rsidR="0019052B" w:rsidRDefault="0019052B" w:rsidP="00EC45E2">
      <w:pPr>
        <w:pStyle w:val="NoSpacing"/>
      </w:pPr>
    </w:p>
    <w:p w14:paraId="0AD2D1F8" w14:textId="339A710E" w:rsidR="00B35C75" w:rsidRDefault="003E2F71" w:rsidP="00B35C75">
      <w:pPr>
        <w:pStyle w:val="NoSpacing"/>
      </w:pPr>
      <w:r>
        <w:t xml:space="preserve">The terms of </w:t>
      </w:r>
      <w:r w:rsidR="001E3E09">
        <w:t xml:space="preserve">the </w:t>
      </w:r>
      <w:r>
        <w:t xml:space="preserve">TAAR also cover companies which are not </w:t>
      </w:r>
      <w:r w:rsidR="006F18DA">
        <w:t xml:space="preserve">UK </w:t>
      </w:r>
      <w:r>
        <w:t xml:space="preserve">resident, but which would be treated as close if they were resident for tax purposes in the UK.  </w:t>
      </w:r>
      <w:r w:rsidR="00F3492C">
        <w:t xml:space="preserve">  </w:t>
      </w:r>
    </w:p>
    <w:p w14:paraId="54CDD669" w14:textId="77777777" w:rsidR="00AD5EB4" w:rsidRPr="00AD5EB4" w:rsidRDefault="00AD5EB4" w:rsidP="00CB1511">
      <w:pPr>
        <w:pStyle w:val="Heading2"/>
      </w:pPr>
      <w:r w:rsidRPr="00AD5EB4">
        <w:t xml:space="preserve">What is </w:t>
      </w:r>
      <w:r w:rsidR="0015733B">
        <w:t>‘</w:t>
      </w:r>
      <w:r w:rsidR="00F02323">
        <w:t xml:space="preserve">same or </w:t>
      </w:r>
      <w:r w:rsidRPr="00AD5EB4">
        <w:t>similar</w:t>
      </w:r>
      <w:r w:rsidR="0015733B">
        <w:t>’</w:t>
      </w:r>
      <w:r>
        <w:t>?</w:t>
      </w:r>
      <w:r w:rsidRPr="00AD5EB4">
        <w:t xml:space="preserve"> </w:t>
      </w:r>
    </w:p>
    <w:p w14:paraId="77A74BC7" w14:textId="77777777" w:rsidR="0019052B" w:rsidRDefault="00F02323" w:rsidP="00EC45E2">
      <w:pPr>
        <w:pStyle w:val="NoSpacing"/>
      </w:pPr>
      <w:r>
        <w:t>It’</w:t>
      </w:r>
      <w:r w:rsidR="006F18DA">
        <w:t>s</w:t>
      </w:r>
      <w:r w:rsidR="00F3492C">
        <w:t xml:space="preserve"> </w:t>
      </w:r>
      <w:r w:rsidR="00EC45E2">
        <w:t>difficult</w:t>
      </w:r>
      <w:r w:rsidR="006F18DA">
        <w:t xml:space="preserve"> to</w:t>
      </w:r>
      <w:r w:rsidR="00F3492C">
        <w:t xml:space="preserve"> </w:t>
      </w:r>
      <w:r w:rsidR="004B2118">
        <w:t>determine exactly</w:t>
      </w:r>
      <w:r w:rsidR="00F3492C">
        <w:t xml:space="preserve"> what</w:t>
      </w:r>
      <w:r w:rsidR="004B2118">
        <w:t xml:space="preserve"> is meant by</w:t>
      </w:r>
      <w:r w:rsidR="00F3492C">
        <w:t xml:space="preserve"> </w:t>
      </w:r>
      <w:r w:rsidR="00C640C6">
        <w:t>’</w:t>
      </w:r>
      <w:r w:rsidR="00F3492C">
        <w:t>same or similar trade or activity</w:t>
      </w:r>
      <w:r w:rsidR="00C640C6">
        <w:t>’</w:t>
      </w:r>
      <w:r w:rsidR="004B2118">
        <w:t xml:space="preserve"> in condition C</w:t>
      </w:r>
      <w:r w:rsidR="00B6136C">
        <w:t xml:space="preserve">. </w:t>
      </w:r>
    </w:p>
    <w:p w14:paraId="6812FA57" w14:textId="77777777" w:rsidR="0019052B" w:rsidRDefault="0019052B" w:rsidP="00EC45E2">
      <w:pPr>
        <w:pStyle w:val="NoSpacing"/>
      </w:pPr>
    </w:p>
    <w:p w14:paraId="0E80FC1E" w14:textId="6CB78ABC" w:rsidR="00B35C75" w:rsidRDefault="00FA7BA8" w:rsidP="00B35C75">
      <w:pPr>
        <w:pStyle w:val="NoSpacing"/>
      </w:pPr>
      <w:r>
        <w:t>T</w:t>
      </w:r>
      <w:r w:rsidR="00CA78A9">
        <w:t>he</w:t>
      </w:r>
      <w:r w:rsidR="0067431B">
        <w:t xml:space="preserve"> term</w:t>
      </w:r>
      <w:r w:rsidR="004B2118">
        <w:t xml:space="preserve"> </w:t>
      </w:r>
      <w:r w:rsidR="00CA78A9">
        <w:t xml:space="preserve">is </w:t>
      </w:r>
      <w:r w:rsidR="00BD5523">
        <w:t xml:space="preserve">designed to prevent the argument that a company is not carrying on </w:t>
      </w:r>
      <w:r w:rsidR="00DB570C">
        <w:t>’</w:t>
      </w:r>
      <w:r w:rsidR="00BD5523">
        <w:t>the same</w:t>
      </w:r>
      <w:r w:rsidR="00DB570C">
        <w:t>’</w:t>
      </w:r>
      <w:r w:rsidR="00BD5523">
        <w:t xml:space="preserve"> trade because of changes to </w:t>
      </w:r>
      <w:r w:rsidR="0067431B">
        <w:t>its</w:t>
      </w:r>
      <w:r w:rsidR="00BD5523">
        <w:t xml:space="preserve"> business model.</w:t>
      </w:r>
    </w:p>
    <w:p w14:paraId="0554D036" w14:textId="77777777" w:rsidR="009E0197" w:rsidRPr="009E0197" w:rsidRDefault="00BD5523" w:rsidP="00BD5523">
      <w:pPr>
        <w:pStyle w:val="Heading2"/>
      </w:pPr>
      <w:r>
        <w:t xml:space="preserve">What counts as </w:t>
      </w:r>
      <w:r w:rsidR="0015733B">
        <w:t>‘</w:t>
      </w:r>
      <w:r>
        <w:t>involvement</w:t>
      </w:r>
      <w:r w:rsidR="0015733B">
        <w:t>’</w:t>
      </w:r>
      <w:r>
        <w:t>?</w:t>
      </w:r>
    </w:p>
    <w:p w14:paraId="21C45BC5" w14:textId="39C0613D" w:rsidR="00D27644" w:rsidRDefault="00ED4045" w:rsidP="00A8241B">
      <w:pPr>
        <w:pStyle w:val="NoSpacing"/>
      </w:pPr>
      <w:r>
        <w:t xml:space="preserve">The final </w:t>
      </w:r>
      <w:r w:rsidR="00C62296">
        <w:t xml:space="preserve">part of condition C </w:t>
      </w:r>
      <w:r>
        <w:t xml:space="preserve">refers to the individual being involved </w:t>
      </w:r>
      <w:r w:rsidR="00C62296">
        <w:t>in carrying on</w:t>
      </w:r>
      <w:r>
        <w:t xml:space="preserve"> a trade or activity by a connected person. </w:t>
      </w:r>
    </w:p>
    <w:p w14:paraId="0501583B" w14:textId="77777777" w:rsidR="00D27644" w:rsidRDefault="00D27644" w:rsidP="00A8241B">
      <w:pPr>
        <w:pStyle w:val="NoSpacing"/>
      </w:pPr>
    </w:p>
    <w:p w14:paraId="1FA283BC" w14:textId="2214FC97" w:rsidR="00C15502" w:rsidRDefault="00FA7BA8" w:rsidP="00A8241B">
      <w:pPr>
        <w:pStyle w:val="NoSpacing"/>
      </w:pPr>
      <w:r>
        <w:t>T</w:t>
      </w:r>
      <w:r w:rsidR="009E0197">
        <w:t xml:space="preserve">he </w:t>
      </w:r>
      <w:r w:rsidR="00ED4045">
        <w:t>word</w:t>
      </w:r>
      <w:r w:rsidR="009E0197">
        <w:t xml:space="preserve"> </w:t>
      </w:r>
      <w:r w:rsidR="0015733B">
        <w:t>‘</w:t>
      </w:r>
      <w:r w:rsidR="009E0197">
        <w:t>involved</w:t>
      </w:r>
      <w:r w:rsidR="0015733B">
        <w:t>’</w:t>
      </w:r>
      <w:r w:rsidR="009E0197">
        <w:t xml:space="preserve"> i</w:t>
      </w:r>
      <w:r w:rsidR="00ED4045">
        <w:t>s intended to be vague</w:t>
      </w:r>
      <w:r w:rsidR="009E0197">
        <w:t xml:space="preserve">. </w:t>
      </w:r>
      <w:r w:rsidR="00563AD3">
        <w:t xml:space="preserve">According to </w:t>
      </w:r>
      <w:r w:rsidR="00597CF9">
        <w:t>HMRC</w:t>
      </w:r>
      <w:r w:rsidR="00563AD3">
        <w:t xml:space="preserve"> guidance,</w:t>
      </w:r>
      <w:r w:rsidR="009E0197">
        <w:t xml:space="preserve"> the individual will be involved in the new business if </w:t>
      </w:r>
      <w:r w:rsidR="00563AD3">
        <w:t>they are</w:t>
      </w:r>
      <w:r w:rsidR="009E0197">
        <w:t xml:space="preserve"> merely an employee of that business</w:t>
      </w:r>
      <w:r w:rsidR="0060222F">
        <w:t xml:space="preserve">. </w:t>
      </w:r>
    </w:p>
    <w:p w14:paraId="38A494E5" w14:textId="77777777" w:rsidR="00C15502" w:rsidRDefault="00C15502" w:rsidP="00A8241B">
      <w:pPr>
        <w:pStyle w:val="NoSpacing"/>
      </w:pPr>
    </w:p>
    <w:p w14:paraId="1CF0E79D" w14:textId="2705CE66" w:rsidR="00D27644" w:rsidRDefault="00926731" w:rsidP="00A8241B">
      <w:pPr>
        <w:pStyle w:val="NoSpacing"/>
      </w:pPr>
      <w:r>
        <w:lastRenderedPageBreak/>
        <w:t>However, tax legislation doesn’</w:t>
      </w:r>
      <w:r w:rsidR="0060222F">
        <w:t xml:space="preserve">t state that employees who are not also shareholders or directors of the company are </w:t>
      </w:r>
      <w:r w:rsidR="0015733B">
        <w:t>‘</w:t>
      </w:r>
      <w:r w:rsidR="0060222F">
        <w:t>involved</w:t>
      </w:r>
      <w:r w:rsidR="0015733B">
        <w:t>’</w:t>
      </w:r>
      <w:r w:rsidR="0060222F">
        <w:t xml:space="preserve"> in the business they work for</w:t>
      </w:r>
      <w:r w:rsidR="00563AD3">
        <w:t>.</w:t>
      </w:r>
      <w:r w:rsidR="0060222F">
        <w:t xml:space="preserve"> </w:t>
      </w:r>
    </w:p>
    <w:p w14:paraId="60F24461" w14:textId="77777777" w:rsidR="00D27644" w:rsidRDefault="00D27644" w:rsidP="00A8241B">
      <w:pPr>
        <w:pStyle w:val="NoSpacing"/>
      </w:pPr>
    </w:p>
    <w:p w14:paraId="49362EFB" w14:textId="0910085E" w:rsidR="009E0197" w:rsidRDefault="00BD5523" w:rsidP="00A8241B">
      <w:pPr>
        <w:pStyle w:val="NoSpacing"/>
      </w:pPr>
      <w:r>
        <w:t>It</w:t>
      </w:r>
      <w:r w:rsidR="00597CF9">
        <w:t xml:space="preserve"> i</w:t>
      </w:r>
      <w:r>
        <w:t>s unlikely</w:t>
      </w:r>
      <w:r w:rsidR="00B45EA2">
        <w:t xml:space="preserve"> that being a junior </w:t>
      </w:r>
      <w:r w:rsidR="00926731">
        <w:t>employee</w:t>
      </w:r>
      <w:r w:rsidR="00B45EA2">
        <w:t xml:space="preserve"> in a relative’s business would constitute involvement.</w:t>
      </w:r>
    </w:p>
    <w:p w14:paraId="3EB522AF" w14:textId="77777777" w:rsidR="00C85007" w:rsidRPr="00AD5EB4" w:rsidRDefault="00597CF9" w:rsidP="00B35C75">
      <w:pPr>
        <w:pStyle w:val="Heading1"/>
      </w:pPr>
      <w:r>
        <w:t>Motive for winding up</w:t>
      </w:r>
    </w:p>
    <w:p w14:paraId="460062B3" w14:textId="77777777" w:rsidR="0090161C" w:rsidRDefault="00C85007" w:rsidP="00C85007">
      <w:pPr>
        <w:pStyle w:val="NoSpacing"/>
      </w:pPr>
      <w:r>
        <w:t>In all cases</w:t>
      </w:r>
      <w:r w:rsidR="00597CF9">
        <w:t>,</w:t>
      </w:r>
      <w:r>
        <w:t xml:space="preserve"> the tax-saving motive in condition D must be met for the capital distribution to be caught by the TAAR. </w:t>
      </w:r>
    </w:p>
    <w:p w14:paraId="17D73FAD" w14:textId="77777777" w:rsidR="0090161C" w:rsidRDefault="0090161C" w:rsidP="00C85007">
      <w:pPr>
        <w:pStyle w:val="NoSpacing"/>
      </w:pPr>
    </w:p>
    <w:p w14:paraId="586761AC" w14:textId="5E8BC1CD" w:rsidR="003F75A1" w:rsidRDefault="00C85007" w:rsidP="00EC45E2">
      <w:pPr>
        <w:pStyle w:val="NoSpacing"/>
      </w:pPr>
      <w:r>
        <w:t>If the taxpayer can show there was no intention to</w:t>
      </w:r>
      <w:r w:rsidR="0060222F">
        <w:t xml:space="preserve"> avoid or</w:t>
      </w:r>
      <w:r>
        <w:t xml:space="preserve"> reduce their income </w:t>
      </w:r>
      <w:r w:rsidR="00926731">
        <w:t>tax bill, the TAAR doesn’t bite</w:t>
      </w:r>
      <w:r>
        <w:t xml:space="preserve"> and the shareholder will pay CGT rather than income tax on the amounts received on liquidation of the company. </w:t>
      </w:r>
    </w:p>
    <w:p w14:paraId="111AFA79" w14:textId="77777777" w:rsidR="00761397" w:rsidRDefault="00761397" w:rsidP="00761397">
      <w:pPr>
        <w:pStyle w:val="Heading1"/>
      </w:pPr>
      <w:r>
        <w:t xml:space="preserve">Looking ahead </w:t>
      </w:r>
    </w:p>
    <w:p w14:paraId="169CC081" w14:textId="77777777" w:rsidR="006D020A" w:rsidRDefault="00761397" w:rsidP="00761397">
      <w:pPr>
        <w:pStyle w:val="NoSpacing"/>
      </w:pPr>
      <w:r>
        <w:t>The taxpayer is supposed to self-assess the application of the TAAR on the distribution they recei</w:t>
      </w:r>
      <w:r w:rsidR="00FA7BA8">
        <w:t>ve.</w:t>
      </w:r>
    </w:p>
    <w:p w14:paraId="7312B404" w14:textId="77777777" w:rsidR="006D020A" w:rsidRDefault="006D020A" w:rsidP="00761397">
      <w:pPr>
        <w:pStyle w:val="NoSpacing"/>
      </w:pPr>
    </w:p>
    <w:p w14:paraId="5307B884" w14:textId="1691D12F" w:rsidR="00761397" w:rsidRDefault="00FA7BA8" w:rsidP="00761397">
      <w:pPr>
        <w:pStyle w:val="NoSpacing"/>
      </w:pPr>
      <w:r>
        <w:t>T</w:t>
      </w:r>
      <w:r w:rsidR="00761397">
        <w:t>his is difficult to do as they must look forward up to two years after the date of the distribution to forecast whether they will be involved</w:t>
      </w:r>
      <w:r w:rsidR="00614534">
        <w:t xml:space="preserve"> in</w:t>
      </w:r>
      <w:r w:rsidR="00761397">
        <w:t xml:space="preserve"> the same or similar business.</w:t>
      </w:r>
    </w:p>
    <w:p w14:paraId="6A3E8182" w14:textId="77777777" w:rsidR="003F75A1" w:rsidRDefault="003F75A1" w:rsidP="00B35C75">
      <w:pPr>
        <w:pStyle w:val="Heading2"/>
      </w:pPr>
      <w:r w:rsidRPr="003F75A1">
        <w:t>Example 1</w:t>
      </w:r>
    </w:p>
    <w:p w14:paraId="0E93ABD8" w14:textId="77777777" w:rsidR="00926731" w:rsidRDefault="00D45A6D" w:rsidP="00D45A6D">
      <w:pPr>
        <w:pStyle w:val="NoSpacing"/>
      </w:pPr>
      <w:r w:rsidRPr="00D45A6D">
        <w:t>Albert</w:t>
      </w:r>
      <w:r>
        <w:t xml:space="preserve"> is a builder who forms a company to convert a commercial building into residential apartments. </w:t>
      </w:r>
      <w:r w:rsidR="00926731">
        <w:t>A</w:t>
      </w:r>
      <w:r>
        <w:t>ll the investors share the risks and reward</w:t>
      </w:r>
      <w:r w:rsidR="0060222F">
        <w:t>s, and any losses are contained</w:t>
      </w:r>
      <w:r>
        <w:t xml:space="preserve">. </w:t>
      </w:r>
    </w:p>
    <w:p w14:paraId="39C788BF" w14:textId="77777777" w:rsidR="00926731" w:rsidRDefault="00926731" w:rsidP="00D45A6D">
      <w:pPr>
        <w:pStyle w:val="NoSpacing"/>
      </w:pPr>
    </w:p>
    <w:p w14:paraId="72917972" w14:textId="523441A7" w:rsidR="0090161C" w:rsidRDefault="00D45A6D" w:rsidP="00D45A6D">
      <w:pPr>
        <w:pStyle w:val="NoSpacing"/>
      </w:pPr>
      <w:r>
        <w:t xml:space="preserve">When the new flats are sold the company is wound up and the shareholders, including Albert, receive capital distributions. </w:t>
      </w:r>
    </w:p>
    <w:p w14:paraId="51ED116F" w14:textId="77777777" w:rsidR="0090161C" w:rsidRDefault="0090161C" w:rsidP="00D45A6D">
      <w:pPr>
        <w:pStyle w:val="NoSpacing"/>
      </w:pPr>
    </w:p>
    <w:p w14:paraId="0EC2B574" w14:textId="77777777" w:rsidR="00D45A6D" w:rsidRDefault="00D45A6D" w:rsidP="00D45A6D">
      <w:pPr>
        <w:pStyle w:val="NoSpacing"/>
      </w:pPr>
      <w:r>
        <w:t>Albert repeats this process with another company formed to develop a building plot, as that is the nature of his business.</w:t>
      </w:r>
    </w:p>
    <w:p w14:paraId="5EB7ECB8" w14:textId="77777777" w:rsidR="00D45A6D" w:rsidRDefault="00D45A6D" w:rsidP="00D45A6D">
      <w:pPr>
        <w:pStyle w:val="NoSpacing"/>
      </w:pPr>
    </w:p>
    <w:p w14:paraId="510136EB" w14:textId="47729FD9" w:rsidR="00D45A6D" w:rsidRPr="00FF209C" w:rsidRDefault="00926731" w:rsidP="00C15502">
      <w:pPr>
        <w:pStyle w:val="NoSpacing"/>
      </w:pPr>
      <w:r>
        <w:t>T</w:t>
      </w:r>
      <w:r w:rsidR="00FF209C" w:rsidRPr="00FF209C">
        <w:t>h</w:t>
      </w:r>
      <w:r w:rsidR="00FF209C">
        <w:t>e TAAR</w:t>
      </w:r>
      <w:r w:rsidR="00FF209C" w:rsidRPr="00FF209C">
        <w:t xml:space="preserve"> </w:t>
      </w:r>
      <w:r>
        <w:t xml:space="preserve">isn’t intended to </w:t>
      </w:r>
      <w:r w:rsidR="00FF209C" w:rsidRPr="00FF209C">
        <w:t>target commercial transactions</w:t>
      </w:r>
      <w:r w:rsidR="00FF209C">
        <w:t>, as in the case of developers such as Al</w:t>
      </w:r>
      <w:r w:rsidR="0060222F">
        <w:t xml:space="preserve">bert. </w:t>
      </w:r>
      <w:r w:rsidR="00C15502">
        <w:t xml:space="preserve">As long as Albert can show there was no tax avoidance motive, the TAAR will not apply. </w:t>
      </w:r>
    </w:p>
    <w:p w14:paraId="36A4BAAD" w14:textId="77777777" w:rsidR="003F75A1" w:rsidRDefault="003F75A1" w:rsidP="00EC45E2">
      <w:pPr>
        <w:pStyle w:val="NoSpacing"/>
      </w:pPr>
    </w:p>
    <w:p w14:paraId="689A4880" w14:textId="77777777" w:rsidR="003F75A1" w:rsidRPr="003F75A1" w:rsidRDefault="003F75A1" w:rsidP="00B35C75">
      <w:pPr>
        <w:pStyle w:val="Heading2"/>
      </w:pPr>
      <w:r w:rsidRPr="003F75A1">
        <w:t>Example 2</w:t>
      </w:r>
    </w:p>
    <w:p w14:paraId="01DC458C" w14:textId="77777777" w:rsidR="0090161C" w:rsidRDefault="003F75A1" w:rsidP="003F75A1">
      <w:pPr>
        <w:pStyle w:val="NoSpacing"/>
      </w:pPr>
      <w:r>
        <w:t>Dorothy is</w:t>
      </w:r>
      <w:r w:rsidR="00C85007" w:rsidRPr="00C85007">
        <w:t xml:space="preserve"> </w:t>
      </w:r>
      <w:r w:rsidR="00C85007" w:rsidRPr="003F75A1">
        <w:t>an IT consultant</w:t>
      </w:r>
      <w:r w:rsidR="00C85007">
        <w:t xml:space="preserve"> </w:t>
      </w:r>
      <w:r w:rsidR="0060222F">
        <w:t>who</w:t>
      </w:r>
      <w:r w:rsidR="00C85007">
        <w:t xml:space="preserve"> </w:t>
      </w:r>
      <w:r w:rsidRPr="003F75A1">
        <w:t xml:space="preserve">runs her business through a company. </w:t>
      </w:r>
    </w:p>
    <w:p w14:paraId="7A64C6AD" w14:textId="77777777" w:rsidR="0090161C" w:rsidRDefault="0090161C" w:rsidP="003F75A1">
      <w:pPr>
        <w:pStyle w:val="NoSpacing"/>
      </w:pPr>
    </w:p>
    <w:p w14:paraId="0726CB3F" w14:textId="3D6B1CF2" w:rsidR="003F75A1" w:rsidRPr="003F75A1" w:rsidRDefault="003F75A1" w:rsidP="003F75A1">
      <w:pPr>
        <w:pStyle w:val="NoSpacing"/>
      </w:pPr>
      <w:r w:rsidRPr="003F75A1">
        <w:t xml:space="preserve">After </w:t>
      </w:r>
      <w:r w:rsidR="00C85007">
        <w:t xml:space="preserve">trading for 20 years, </w:t>
      </w:r>
      <w:r w:rsidRPr="003F75A1">
        <w:t>she winds up her company and starts a new company that offers her services as</w:t>
      </w:r>
      <w:r w:rsidR="00C85007">
        <w:t xml:space="preserve"> a recruitment consultant</w:t>
      </w:r>
      <w:r w:rsidRPr="003F75A1">
        <w:t xml:space="preserve">. Some of her clients are businesses she </w:t>
      </w:r>
      <w:r w:rsidR="00926731">
        <w:t xml:space="preserve">previously </w:t>
      </w:r>
      <w:r w:rsidRPr="003F75A1">
        <w:t>dealt with.</w:t>
      </w:r>
    </w:p>
    <w:p w14:paraId="764FE5C2" w14:textId="77777777" w:rsidR="003F75A1" w:rsidRPr="003F75A1" w:rsidRDefault="003F75A1" w:rsidP="003F75A1">
      <w:pPr>
        <w:pStyle w:val="NoSpacing"/>
      </w:pPr>
    </w:p>
    <w:p w14:paraId="722E3451" w14:textId="7FABAC01" w:rsidR="0090161C" w:rsidRDefault="003F75A1" w:rsidP="003F75A1">
      <w:pPr>
        <w:pStyle w:val="NoSpacing"/>
      </w:pPr>
      <w:r w:rsidRPr="003F75A1">
        <w:t>D</w:t>
      </w:r>
      <w:r w:rsidR="00C85007">
        <w:t xml:space="preserve">orothy </w:t>
      </w:r>
      <w:r w:rsidR="00D45A6D">
        <w:t xml:space="preserve">is still a consultant, but </w:t>
      </w:r>
      <w:r w:rsidR="00C85007">
        <w:t>her</w:t>
      </w:r>
      <w:r w:rsidRPr="003F75A1">
        <w:t xml:space="preserve"> trade ha</w:t>
      </w:r>
      <w:r w:rsidR="00926731">
        <w:t>s changed significantly and it’</w:t>
      </w:r>
      <w:r w:rsidRPr="003F75A1">
        <w:t xml:space="preserve">s unlikely it would be viewed as the same or similar </w:t>
      </w:r>
      <w:r w:rsidR="00926731">
        <w:t>to that carried on by the wound-</w:t>
      </w:r>
      <w:r w:rsidRPr="003F75A1">
        <w:t xml:space="preserve">up company. </w:t>
      </w:r>
    </w:p>
    <w:p w14:paraId="7199F68B" w14:textId="77777777" w:rsidR="0090161C" w:rsidRDefault="0090161C" w:rsidP="003F75A1">
      <w:pPr>
        <w:pStyle w:val="NoSpacing"/>
      </w:pPr>
    </w:p>
    <w:p w14:paraId="5586A5EB" w14:textId="77777777" w:rsidR="008E1045" w:rsidRDefault="00926731" w:rsidP="00EC45E2">
      <w:pPr>
        <w:pStyle w:val="NoSpacing"/>
      </w:pPr>
      <w:r>
        <w:t>It doesn’</w:t>
      </w:r>
      <w:r w:rsidR="003F75A1" w:rsidRPr="003F75A1">
        <w:t>t matter that she continues to deal with some of the same clients because</w:t>
      </w:r>
      <w:r w:rsidR="008E1045">
        <w:t xml:space="preserve"> the nature of the service she’</w:t>
      </w:r>
      <w:r w:rsidR="003F75A1" w:rsidRPr="003F75A1">
        <w:t xml:space="preserve">s providing is different. </w:t>
      </w:r>
    </w:p>
    <w:p w14:paraId="499F0C03" w14:textId="77777777" w:rsidR="008E1045" w:rsidRDefault="008E1045" w:rsidP="00EC45E2">
      <w:pPr>
        <w:pStyle w:val="NoSpacing"/>
      </w:pPr>
    </w:p>
    <w:p w14:paraId="3A941AB9" w14:textId="1409DB28" w:rsidR="003E2F71" w:rsidRDefault="003F75A1" w:rsidP="00EC45E2">
      <w:pPr>
        <w:pStyle w:val="NoSpacing"/>
      </w:pPr>
      <w:r w:rsidRPr="003F75A1">
        <w:t xml:space="preserve">Even if it were argued that </w:t>
      </w:r>
      <w:r w:rsidR="00C85007">
        <w:t>her</w:t>
      </w:r>
      <w:r w:rsidRPr="003F75A1">
        <w:t xml:space="preserve"> work was similar consultancy support, it is unlikely </w:t>
      </w:r>
      <w:r w:rsidR="00456898">
        <w:t>c</w:t>
      </w:r>
      <w:r w:rsidR="00456898" w:rsidRPr="003F75A1">
        <w:t xml:space="preserve">ondition </w:t>
      </w:r>
      <w:r w:rsidRPr="003F75A1">
        <w:t>D would be met</w:t>
      </w:r>
      <w:r w:rsidR="00C85007">
        <w:t>.</w:t>
      </w:r>
    </w:p>
    <w:p w14:paraId="5ED1F828" w14:textId="77777777" w:rsidR="00F04327" w:rsidRDefault="00F04327" w:rsidP="00F04327">
      <w:pPr>
        <w:pStyle w:val="NoSpacing"/>
      </w:pPr>
    </w:p>
    <w:p w14:paraId="382A0547" w14:textId="77777777" w:rsidR="00F04327" w:rsidRDefault="00F04327" w:rsidP="00B35C75">
      <w:pPr>
        <w:pStyle w:val="Heading2"/>
      </w:pPr>
      <w:r w:rsidRPr="00F04327">
        <w:lastRenderedPageBreak/>
        <w:t>Example 3</w:t>
      </w:r>
    </w:p>
    <w:p w14:paraId="3F193A1A" w14:textId="3C053E9E" w:rsidR="0090161C" w:rsidRDefault="0040069E" w:rsidP="00F04327">
      <w:pPr>
        <w:pStyle w:val="NoSpacing"/>
      </w:pPr>
      <w:r>
        <w:t xml:space="preserve">Laura </w:t>
      </w:r>
      <w:r w:rsidR="00C85007">
        <w:t xml:space="preserve">worked as a therapist through </w:t>
      </w:r>
      <w:r w:rsidR="00F04327">
        <w:t xml:space="preserve">her </w:t>
      </w:r>
      <w:r w:rsidR="00C85007">
        <w:t>personal</w:t>
      </w:r>
      <w:r w:rsidR="00F04327">
        <w:t xml:space="preserve"> company</w:t>
      </w:r>
      <w:r w:rsidR="008E1045">
        <w:t xml:space="preserve">, which she wound </w:t>
      </w:r>
      <w:r w:rsidR="00C85007">
        <w:t>up</w:t>
      </w:r>
      <w:r w:rsidR="00F04327">
        <w:t xml:space="preserve"> in</w:t>
      </w:r>
      <w:r w:rsidR="005857C6">
        <w:t xml:space="preserve"> early </w:t>
      </w:r>
      <w:r w:rsidR="00C85007">
        <w:t xml:space="preserve">2018. </w:t>
      </w:r>
    </w:p>
    <w:p w14:paraId="45D6D1F5" w14:textId="77777777" w:rsidR="0090161C" w:rsidRDefault="0090161C" w:rsidP="00F04327">
      <w:pPr>
        <w:pStyle w:val="NoSpacing"/>
      </w:pPr>
    </w:p>
    <w:p w14:paraId="5D418E07" w14:textId="77777777" w:rsidR="0060222F" w:rsidRDefault="00C85007" w:rsidP="00F04327">
      <w:pPr>
        <w:pStyle w:val="NoSpacing"/>
      </w:pPr>
      <w:r>
        <w:t xml:space="preserve">She </w:t>
      </w:r>
      <w:r w:rsidR="00F04327">
        <w:t>receive</w:t>
      </w:r>
      <w:r w:rsidR="003F75A1">
        <w:t>d</w:t>
      </w:r>
      <w:r w:rsidR="00F04327">
        <w:t xml:space="preserve"> the final capital distribution on 25 March 2018. Her personal tax return for</w:t>
      </w:r>
      <w:r>
        <w:t xml:space="preserve"> the year to 5 April 2018</w:t>
      </w:r>
      <w:r w:rsidR="00F04327">
        <w:t xml:space="preserve"> must be submitted by 31 January 2019,</w:t>
      </w:r>
      <w:r w:rsidR="005857C6">
        <w:t xml:space="preserve"> and</w:t>
      </w:r>
      <w:r w:rsidR="00A27B20">
        <w:t xml:space="preserve"> it</w:t>
      </w:r>
      <w:r w:rsidR="005857C6">
        <w:t xml:space="preserve"> can be amended until 31 January 2020</w:t>
      </w:r>
      <w:r>
        <w:t xml:space="preserve">. </w:t>
      </w:r>
    </w:p>
    <w:p w14:paraId="36F27D35" w14:textId="77777777" w:rsidR="0060222F" w:rsidRDefault="0060222F" w:rsidP="00F04327">
      <w:pPr>
        <w:pStyle w:val="NoSpacing"/>
      </w:pPr>
    </w:p>
    <w:p w14:paraId="0FBA2BDB" w14:textId="77777777" w:rsidR="0090161C" w:rsidRDefault="00B45EA2" w:rsidP="00F04327">
      <w:pPr>
        <w:pStyle w:val="NoSpacing"/>
      </w:pPr>
      <w:r>
        <w:t xml:space="preserve">If </w:t>
      </w:r>
      <w:r w:rsidR="0040069E">
        <w:t xml:space="preserve">Laura </w:t>
      </w:r>
      <w:r>
        <w:t xml:space="preserve">were to start a new business, </w:t>
      </w:r>
      <w:r w:rsidR="00C15502">
        <w:t>she would have to</w:t>
      </w:r>
      <w:r w:rsidR="00F04327">
        <w:t xml:space="preserve"> look forward to 25 March 2020</w:t>
      </w:r>
      <w:r w:rsidR="005857C6">
        <w:t xml:space="preserve"> to check whether </w:t>
      </w:r>
      <w:r w:rsidR="003F75A1">
        <w:t>he</w:t>
      </w:r>
      <w:r w:rsidR="00C15502">
        <w:t>r</w:t>
      </w:r>
      <w:r w:rsidR="003F75A1">
        <w:t xml:space="preserve"> new </w:t>
      </w:r>
      <w:r w:rsidR="00C15502">
        <w:t>venture</w:t>
      </w:r>
      <w:r w:rsidR="00C85007">
        <w:t xml:space="preserve"> is sufficiently similar to her old therapist business</w:t>
      </w:r>
      <w:r>
        <w:t xml:space="preserve"> to trigger the TAAR</w:t>
      </w:r>
      <w:r w:rsidR="00C85007">
        <w:t xml:space="preserve">. </w:t>
      </w:r>
    </w:p>
    <w:p w14:paraId="74311C9D" w14:textId="77777777" w:rsidR="0090161C" w:rsidRDefault="0090161C" w:rsidP="00F04327">
      <w:pPr>
        <w:pStyle w:val="NoSpacing"/>
      </w:pPr>
    </w:p>
    <w:p w14:paraId="1B23ABBF" w14:textId="6F7072BF" w:rsidR="00F04327" w:rsidRPr="00F04327" w:rsidRDefault="00C85007" w:rsidP="00F04327">
      <w:pPr>
        <w:pStyle w:val="NoSpacing"/>
      </w:pPr>
      <w:r>
        <w:t xml:space="preserve">If </w:t>
      </w:r>
      <w:r w:rsidR="00B45EA2">
        <w:t xml:space="preserve">it is, and </w:t>
      </w:r>
      <w:r>
        <w:t>the other conditions of the TAAR</w:t>
      </w:r>
      <w:r w:rsidR="008E1045">
        <w:t xml:space="preserve"> –</w:t>
      </w:r>
      <w:r w:rsidR="00981F23">
        <w:t xml:space="preserve"> including the motive test in condition D</w:t>
      </w:r>
      <w:r w:rsidR="008E1045">
        <w:t xml:space="preserve"> –</w:t>
      </w:r>
      <w:r>
        <w:t xml:space="preserve"> are</w:t>
      </w:r>
      <w:r w:rsidR="00B45EA2">
        <w:t xml:space="preserve"> also</w:t>
      </w:r>
      <w:r>
        <w:t xml:space="preserve"> met, </w:t>
      </w:r>
      <w:r w:rsidR="003F75A1">
        <w:t>the distribution received in March 2018</w:t>
      </w:r>
      <w:r>
        <w:t xml:space="preserve"> will </w:t>
      </w:r>
      <w:r w:rsidR="008E1045">
        <w:t>be reconsidered</w:t>
      </w:r>
      <w:r>
        <w:t xml:space="preserve"> as income and </w:t>
      </w:r>
      <w:r w:rsidR="008E1045">
        <w:t>income tax</w:t>
      </w:r>
      <w:r>
        <w:t xml:space="preserve"> for 2017/18 will be due</w:t>
      </w:r>
      <w:r w:rsidR="005857C6">
        <w:t>.</w:t>
      </w:r>
      <w:r w:rsidR="00F04327">
        <w:t xml:space="preserve">  </w:t>
      </w:r>
      <w:r w:rsidR="00F04327" w:rsidRPr="00F04327">
        <w:t xml:space="preserve"> </w:t>
      </w:r>
    </w:p>
    <w:p w14:paraId="428089D7" w14:textId="77777777" w:rsidR="00F04327" w:rsidRPr="003F75A1" w:rsidRDefault="00597CF9" w:rsidP="00CB1511">
      <w:pPr>
        <w:pStyle w:val="Heading1"/>
      </w:pPr>
      <w:r>
        <w:t>Can I ask HMRC for an opinion?</w:t>
      </w:r>
    </w:p>
    <w:p w14:paraId="42ED4CAA" w14:textId="08EAEC78" w:rsidR="0090161C" w:rsidRDefault="00441ED5" w:rsidP="00981F23">
      <w:pPr>
        <w:pStyle w:val="NoSpacing"/>
      </w:pPr>
      <w:r>
        <w:t xml:space="preserve">HMRC will refuse to give an opinion on whether </w:t>
      </w:r>
      <w:r w:rsidR="008E1045">
        <w:t xml:space="preserve">a </w:t>
      </w:r>
      <w:r>
        <w:t>TAAR</w:t>
      </w:r>
      <w:r w:rsidR="005F6AFC">
        <w:t xml:space="preserve"> will apply to you, because</w:t>
      </w:r>
      <w:r>
        <w:t xml:space="preserve"> </w:t>
      </w:r>
      <w:r w:rsidR="00B45EA2">
        <w:t xml:space="preserve">the </w:t>
      </w:r>
      <w:r w:rsidR="00981F23">
        <w:t>operation of the TAAR</w:t>
      </w:r>
      <w:r w:rsidR="00B45EA2">
        <w:t xml:space="preserve"> depends on the intentions of the </w:t>
      </w:r>
      <w:r w:rsidR="00981F23">
        <w:t xml:space="preserve">individual </w:t>
      </w:r>
      <w:r w:rsidR="00B45EA2">
        <w:t>taxpayer</w:t>
      </w:r>
      <w:r w:rsidR="005F6AFC">
        <w:t>.</w:t>
      </w:r>
    </w:p>
    <w:p w14:paraId="20A2E48A" w14:textId="77777777" w:rsidR="00614534" w:rsidRDefault="00614534" w:rsidP="00981F23">
      <w:pPr>
        <w:pStyle w:val="NoSpacing"/>
        <w:rPr>
          <w:i/>
        </w:rPr>
      </w:pPr>
    </w:p>
    <w:p w14:paraId="24263409" w14:textId="19A2DB05" w:rsidR="00614534" w:rsidRPr="00B35C75" w:rsidRDefault="00614534" w:rsidP="00981F23">
      <w:pPr>
        <w:pStyle w:val="NoSpacing"/>
        <w:rPr>
          <w:i/>
        </w:rPr>
      </w:pPr>
      <w:r>
        <w:rPr>
          <w:i/>
        </w:rPr>
        <w:t xml:space="preserve">Get in touch to discuss your company. </w:t>
      </w:r>
    </w:p>
    <w:sectPr w:rsidR="00614534" w:rsidRPr="00B35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06448F" w15:done="0"/>
  <w15:commentEx w15:paraId="478102D5" w15:done="0"/>
  <w15:commentEx w15:paraId="3B5679F9" w15:done="0"/>
  <w15:commentEx w15:paraId="7F922211" w15:done="0"/>
  <w15:commentEx w15:paraId="2431D380" w15:done="0"/>
  <w15:commentEx w15:paraId="268B89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06448F" w16cid:durableId="1E59F8D9"/>
  <w16cid:commentId w16cid:paraId="478102D5" w16cid:durableId="1E5A1B8B"/>
  <w16cid:commentId w16cid:paraId="3B5679F9" w16cid:durableId="1E5A1BB8"/>
  <w16cid:commentId w16cid:paraId="7F922211" w16cid:durableId="1E5A1DF6"/>
  <w16cid:commentId w16cid:paraId="2431D380" w16cid:durableId="1E5A1E05"/>
  <w16cid:commentId w16cid:paraId="268B8994" w16cid:durableId="1E59F8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58F"/>
    <w:multiLevelType w:val="hybridMultilevel"/>
    <w:tmpl w:val="BB1C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67B3"/>
    <w:multiLevelType w:val="hybridMultilevel"/>
    <w:tmpl w:val="289E7DE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B7FD3"/>
    <w:multiLevelType w:val="hybridMultilevel"/>
    <w:tmpl w:val="F2E25F50"/>
    <w:lvl w:ilvl="0" w:tplc="B890E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547D7"/>
    <w:multiLevelType w:val="hybridMultilevel"/>
    <w:tmpl w:val="8DDA4A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B4DA0"/>
    <w:multiLevelType w:val="hybridMultilevel"/>
    <w:tmpl w:val="86E6C3A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BC68BC"/>
    <w:multiLevelType w:val="hybridMultilevel"/>
    <w:tmpl w:val="9984FA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re King">
    <w15:presenceInfo w15:providerId="AD" w15:userId="S-1-5-21-283186395-1827674362-1427424629-12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79"/>
    <w:rsid w:val="00006131"/>
    <w:rsid w:val="00020A79"/>
    <w:rsid w:val="000248CA"/>
    <w:rsid w:val="0005240A"/>
    <w:rsid w:val="0009568F"/>
    <w:rsid w:val="000D6A21"/>
    <w:rsid w:val="000E3EDF"/>
    <w:rsid w:val="000E6D21"/>
    <w:rsid w:val="00105723"/>
    <w:rsid w:val="00135979"/>
    <w:rsid w:val="0015733B"/>
    <w:rsid w:val="00164373"/>
    <w:rsid w:val="0018794E"/>
    <w:rsid w:val="0019052B"/>
    <w:rsid w:val="00195AA5"/>
    <w:rsid w:val="001A7EB6"/>
    <w:rsid w:val="001B7085"/>
    <w:rsid w:val="001B7CA7"/>
    <w:rsid w:val="001E3E09"/>
    <w:rsid w:val="001F778A"/>
    <w:rsid w:val="00201274"/>
    <w:rsid w:val="002078B0"/>
    <w:rsid w:val="00214413"/>
    <w:rsid w:val="002209E8"/>
    <w:rsid w:val="002222BC"/>
    <w:rsid w:val="00250A03"/>
    <w:rsid w:val="00280183"/>
    <w:rsid w:val="00292F19"/>
    <w:rsid w:val="002D1BA4"/>
    <w:rsid w:val="002D3001"/>
    <w:rsid w:val="002E02F1"/>
    <w:rsid w:val="00304A60"/>
    <w:rsid w:val="003218AE"/>
    <w:rsid w:val="003258DC"/>
    <w:rsid w:val="003616ED"/>
    <w:rsid w:val="00393422"/>
    <w:rsid w:val="003E2F71"/>
    <w:rsid w:val="003F75A1"/>
    <w:rsid w:val="0040069E"/>
    <w:rsid w:val="004034A9"/>
    <w:rsid w:val="00415CE0"/>
    <w:rsid w:val="004241F0"/>
    <w:rsid w:val="00441ED5"/>
    <w:rsid w:val="0045204A"/>
    <w:rsid w:val="00456898"/>
    <w:rsid w:val="004618E6"/>
    <w:rsid w:val="004A4E03"/>
    <w:rsid w:val="004B2118"/>
    <w:rsid w:val="004C0E47"/>
    <w:rsid w:val="004C2394"/>
    <w:rsid w:val="00563AD3"/>
    <w:rsid w:val="005857C6"/>
    <w:rsid w:val="00590DD2"/>
    <w:rsid w:val="00591638"/>
    <w:rsid w:val="00597CF9"/>
    <w:rsid w:val="005F6AFC"/>
    <w:rsid w:val="0060222F"/>
    <w:rsid w:val="00607167"/>
    <w:rsid w:val="00614534"/>
    <w:rsid w:val="0061639B"/>
    <w:rsid w:val="0064738A"/>
    <w:rsid w:val="0067431B"/>
    <w:rsid w:val="006B0982"/>
    <w:rsid w:val="006D020A"/>
    <w:rsid w:val="006F18DA"/>
    <w:rsid w:val="00705ACD"/>
    <w:rsid w:val="00707263"/>
    <w:rsid w:val="00731D8C"/>
    <w:rsid w:val="00761397"/>
    <w:rsid w:val="007A1428"/>
    <w:rsid w:val="007C3DFF"/>
    <w:rsid w:val="007D0A5B"/>
    <w:rsid w:val="008258A2"/>
    <w:rsid w:val="00893FED"/>
    <w:rsid w:val="008D50A0"/>
    <w:rsid w:val="008E0EBB"/>
    <w:rsid w:val="008E1045"/>
    <w:rsid w:val="0090161C"/>
    <w:rsid w:val="00920BBD"/>
    <w:rsid w:val="00925172"/>
    <w:rsid w:val="00926731"/>
    <w:rsid w:val="0096429C"/>
    <w:rsid w:val="00981F23"/>
    <w:rsid w:val="009D1566"/>
    <w:rsid w:val="009E0197"/>
    <w:rsid w:val="009E75BB"/>
    <w:rsid w:val="00A27B20"/>
    <w:rsid w:val="00A7058B"/>
    <w:rsid w:val="00A8241B"/>
    <w:rsid w:val="00A93955"/>
    <w:rsid w:val="00AC0F9E"/>
    <w:rsid w:val="00AC318B"/>
    <w:rsid w:val="00AC74E8"/>
    <w:rsid w:val="00AD5EB4"/>
    <w:rsid w:val="00AE2A22"/>
    <w:rsid w:val="00B35C75"/>
    <w:rsid w:val="00B44064"/>
    <w:rsid w:val="00B45EA2"/>
    <w:rsid w:val="00B6136C"/>
    <w:rsid w:val="00BD0920"/>
    <w:rsid w:val="00BD3D84"/>
    <w:rsid w:val="00BD5523"/>
    <w:rsid w:val="00BE6C29"/>
    <w:rsid w:val="00C15502"/>
    <w:rsid w:val="00C331E0"/>
    <w:rsid w:val="00C62296"/>
    <w:rsid w:val="00C640C6"/>
    <w:rsid w:val="00C85007"/>
    <w:rsid w:val="00C944E7"/>
    <w:rsid w:val="00CA78A9"/>
    <w:rsid w:val="00CB1511"/>
    <w:rsid w:val="00CD5901"/>
    <w:rsid w:val="00CD63D3"/>
    <w:rsid w:val="00D10C79"/>
    <w:rsid w:val="00D115C3"/>
    <w:rsid w:val="00D1563A"/>
    <w:rsid w:val="00D27644"/>
    <w:rsid w:val="00D45A6D"/>
    <w:rsid w:val="00DB570C"/>
    <w:rsid w:val="00DC7DC9"/>
    <w:rsid w:val="00DE4CF9"/>
    <w:rsid w:val="00E60726"/>
    <w:rsid w:val="00EC45E2"/>
    <w:rsid w:val="00ED1C66"/>
    <w:rsid w:val="00ED4045"/>
    <w:rsid w:val="00F00072"/>
    <w:rsid w:val="00F00753"/>
    <w:rsid w:val="00F00F4A"/>
    <w:rsid w:val="00F02323"/>
    <w:rsid w:val="00F04327"/>
    <w:rsid w:val="00F1458C"/>
    <w:rsid w:val="00F15A33"/>
    <w:rsid w:val="00F22655"/>
    <w:rsid w:val="00F3492C"/>
    <w:rsid w:val="00F51DBB"/>
    <w:rsid w:val="00F52968"/>
    <w:rsid w:val="00FA7BA8"/>
    <w:rsid w:val="00FB3E63"/>
    <w:rsid w:val="00FB497D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7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3"/>
  </w:style>
  <w:style w:type="paragraph" w:styleId="Heading1">
    <w:name w:val="heading 1"/>
    <w:basedOn w:val="Normal"/>
    <w:next w:val="Normal"/>
    <w:link w:val="Heading1Char"/>
    <w:uiPriority w:val="9"/>
    <w:qFormat/>
    <w:rsid w:val="00D27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D276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7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uiPriority w:val="99"/>
    <w:rsid w:val="00D15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64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2764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4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A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3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66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66"/>
    <w:rPr>
      <w:rFonts w:ascii="Arial" w:eastAsiaTheme="minorEastAsia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3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3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2764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4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90D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D3"/>
  </w:style>
  <w:style w:type="paragraph" w:styleId="Heading1">
    <w:name w:val="heading 1"/>
    <w:basedOn w:val="Normal"/>
    <w:next w:val="Normal"/>
    <w:link w:val="Heading1Char"/>
    <w:uiPriority w:val="9"/>
    <w:qFormat/>
    <w:rsid w:val="00D27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7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7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64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oSpacing">
    <w:name w:val="No Spacing"/>
    <w:uiPriority w:val="1"/>
    <w:qFormat/>
    <w:rsid w:val="00D276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764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uiPriority w:val="99"/>
    <w:rsid w:val="00D156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764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2764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764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5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A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136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1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1C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1C66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C66"/>
    <w:rPr>
      <w:rFonts w:ascii="Arial" w:eastAsiaTheme="minorEastAsia" w:hAnsi="Arial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D63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3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D2764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764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90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ABF9B-780D-4457-A4BA-84B12650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Sift Limited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Cave</dc:creator>
  <cp:lastModifiedBy>James Martini</cp:lastModifiedBy>
  <cp:revision>7</cp:revision>
  <cp:lastPrinted>2018-03-19T09:37:00Z</cp:lastPrinted>
  <dcterms:created xsi:type="dcterms:W3CDTF">2018-03-19T14:49:00Z</dcterms:created>
  <dcterms:modified xsi:type="dcterms:W3CDTF">2018-03-29T08:30:00Z</dcterms:modified>
</cp:coreProperties>
</file>