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FE963" w14:textId="77777777" w:rsidR="00F61A25" w:rsidRDefault="00FA01F3" w:rsidP="00FA01F3">
      <w:pPr>
        <w:pStyle w:val="Title"/>
      </w:pPr>
      <w:r>
        <w:t>Personal tax planning</w:t>
      </w:r>
    </w:p>
    <w:p w14:paraId="5A89551A" w14:textId="77777777" w:rsidR="00FA01F3" w:rsidRPr="005A6B52" w:rsidRDefault="00FA01F3">
      <w:pPr>
        <w:rPr>
          <w:i/>
        </w:rPr>
      </w:pPr>
      <w:r>
        <w:rPr>
          <w:i/>
        </w:rPr>
        <w:t>What you need to know for 2019/20</w:t>
      </w:r>
      <w:r w:rsidRPr="00FA01F3">
        <w:rPr>
          <w:i/>
        </w:rPr>
        <w:t>.</w:t>
      </w:r>
    </w:p>
    <w:p w14:paraId="6192B3FD" w14:textId="77777777" w:rsidR="00FA01F3" w:rsidRDefault="007E527A">
      <w:r>
        <w:t xml:space="preserve">With the Brexit </w:t>
      </w:r>
      <w:r w:rsidR="00C845EC">
        <w:t xml:space="preserve">process </w:t>
      </w:r>
      <w:r>
        <w:t xml:space="preserve">rumbling on, Making Tax Digital finally coming into force, and Easter around the corner, now is the time to put your financial plans in place for 2019/20. </w:t>
      </w:r>
    </w:p>
    <w:p w14:paraId="00181470" w14:textId="77777777" w:rsidR="00FA01F3" w:rsidRDefault="00FA01F3" w:rsidP="00FA01F3">
      <w:pPr>
        <w:pStyle w:val="Heading1"/>
      </w:pPr>
      <w:r>
        <w:t>Income</w:t>
      </w:r>
    </w:p>
    <w:p w14:paraId="36D4CA5B" w14:textId="77777777" w:rsidR="00BA3D64" w:rsidRDefault="00FA01F3" w:rsidP="00FA01F3">
      <w:r>
        <w:t xml:space="preserve">The way you receive an income, and the rates and allowances that apply, should be </w:t>
      </w:r>
      <w:r w:rsidR="00BA3D64">
        <w:t xml:space="preserve">at the front of your mind when it comes to planning your personal finances. </w:t>
      </w:r>
    </w:p>
    <w:p w14:paraId="1C63CB58" w14:textId="77777777" w:rsidR="00FA01F3" w:rsidRPr="00D453FC" w:rsidRDefault="00BA3D64" w:rsidP="00FA01F3">
      <w:r>
        <w:t xml:space="preserve">How much you pay will depend on where you live in the UK, with Scotland in receipt of devolved powers to set their own income tax bands on top of the UK-wide personal allowance. </w:t>
      </w:r>
    </w:p>
    <w:tbl>
      <w:tblPr>
        <w:tblStyle w:val="TableGrid"/>
        <w:tblW w:w="8897" w:type="dxa"/>
        <w:tblLayout w:type="fixed"/>
        <w:tblLook w:val="04A0" w:firstRow="1" w:lastRow="0" w:firstColumn="1" w:lastColumn="0" w:noHBand="0" w:noVBand="1"/>
      </w:tblPr>
      <w:tblGrid>
        <w:gridCol w:w="1951"/>
        <w:gridCol w:w="2410"/>
        <w:gridCol w:w="1134"/>
        <w:gridCol w:w="2410"/>
        <w:gridCol w:w="992"/>
      </w:tblGrid>
      <w:tr w:rsidR="00FA01F3" w:rsidRPr="00245BB1" w14:paraId="72914410" w14:textId="77777777" w:rsidTr="002E2CC1">
        <w:tc>
          <w:tcPr>
            <w:tcW w:w="1951" w:type="dxa"/>
          </w:tcPr>
          <w:p w14:paraId="3B7CBE9E" w14:textId="77777777" w:rsidR="00FA01F3" w:rsidRPr="00222889" w:rsidRDefault="00FA01F3" w:rsidP="007E527A">
            <w:pPr>
              <w:rPr>
                <w:b/>
                <w:sz w:val="20"/>
                <w:szCs w:val="20"/>
              </w:rPr>
            </w:pPr>
            <w:r>
              <w:rPr>
                <w:b/>
                <w:sz w:val="20"/>
                <w:szCs w:val="20"/>
              </w:rPr>
              <w:t>Income tax 201</w:t>
            </w:r>
            <w:r w:rsidR="007E527A">
              <w:rPr>
                <w:b/>
                <w:sz w:val="20"/>
                <w:szCs w:val="20"/>
              </w:rPr>
              <w:t>9</w:t>
            </w:r>
            <w:r>
              <w:rPr>
                <w:b/>
                <w:sz w:val="20"/>
                <w:szCs w:val="20"/>
              </w:rPr>
              <w:t>/</w:t>
            </w:r>
            <w:r w:rsidR="007E527A">
              <w:rPr>
                <w:b/>
                <w:sz w:val="20"/>
                <w:szCs w:val="20"/>
              </w:rPr>
              <w:t>20</w:t>
            </w:r>
          </w:p>
        </w:tc>
        <w:tc>
          <w:tcPr>
            <w:tcW w:w="3544" w:type="dxa"/>
            <w:gridSpan w:val="2"/>
          </w:tcPr>
          <w:p w14:paraId="3BA99076" w14:textId="77777777" w:rsidR="00FA01F3" w:rsidRPr="00222889" w:rsidRDefault="00FA01F3" w:rsidP="00540CDE">
            <w:pPr>
              <w:rPr>
                <w:b/>
              </w:rPr>
            </w:pPr>
            <w:r w:rsidRPr="00222889">
              <w:rPr>
                <w:b/>
              </w:rPr>
              <w:t>England, N. Ireland &amp; Wales</w:t>
            </w:r>
          </w:p>
        </w:tc>
        <w:tc>
          <w:tcPr>
            <w:tcW w:w="3402" w:type="dxa"/>
            <w:gridSpan w:val="2"/>
          </w:tcPr>
          <w:p w14:paraId="7317C945" w14:textId="77777777" w:rsidR="00FA01F3" w:rsidRPr="00222889" w:rsidRDefault="00FA01F3" w:rsidP="00540CDE">
            <w:pPr>
              <w:rPr>
                <w:b/>
              </w:rPr>
            </w:pPr>
            <w:r w:rsidRPr="00222889">
              <w:rPr>
                <w:b/>
              </w:rPr>
              <w:t>Scotland</w:t>
            </w:r>
          </w:p>
        </w:tc>
      </w:tr>
      <w:tr w:rsidR="00FA01F3" w14:paraId="1E488077" w14:textId="77777777" w:rsidTr="002E2CC1">
        <w:tc>
          <w:tcPr>
            <w:tcW w:w="1951" w:type="dxa"/>
          </w:tcPr>
          <w:p w14:paraId="49ED1E83" w14:textId="77777777" w:rsidR="00FA01F3" w:rsidRPr="00222889" w:rsidRDefault="00FA01F3" w:rsidP="00540CDE">
            <w:pPr>
              <w:rPr>
                <w:sz w:val="20"/>
                <w:szCs w:val="20"/>
              </w:rPr>
            </w:pPr>
          </w:p>
        </w:tc>
        <w:tc>
          <w:tcPr>
            <w:tcW w:w="2410" w:type="dxa"/>
          </w:tcPr>
          <w:p w14:paraId="28B85571" w14:textId="77777777" w:rsidR="00FA01F3" w:rsidRPr="000A109D" w:rsidRDefault="00FA01F3" w:rsidP="00540CDE">
            <w:pPr>
              <w:rPr>
                <w:sz w:val="21"/>
                <w:szCs w:val="21"/>
              </w:rPr>
            </w:pPr>
            <w:r w:rsidRPr="000A109D">
              <w:rPr>
                <w:sz w:val="21"/>
                <w:szCs w:val="21"/>
              </w:rPr>
              <w:t>Threshold</w:t>
            </w:r>
          </w:p>
        </w:tc>
        <w:tc>
          <w:tcPr>
            <w:tcW w:w="1134" w:type="dxa"/>
          </w:tcPr>
          <w:p w14:paraId="42B29F53" w14:textId="77777777" w:rsidR="00FA01F3" w:rsidRPr="000A109D" w:rsidRDefault="00FA01F3" w:rsidP="00540CDE">
            <w:pPr>
              <w:rPr>
                <w:sz w:val="21"/>
                <w:szCs w:val="21"/>
              </w:rPr>
            </w:pPr>
            <w:r w:rsidRPr="000A109D">
              <w:rPr>
                <w:sz w:val="21"/>
                <w:szCs w:val="21"/>
              </w:rPr>
              <w:t>Tax rate</w:t>
            </w:r>
          </w:p>
        </w:tc>
        <w:tc>
          <w:tcPr>
            <w:tcW w:w="2410" w:type="dxa"/>
          </w:tcPr>
          <w:p w14:paraId="599713BC" w14:textId="77777777" w:rsidR="00FA01F3" w:rsidRPr="000A109D" w:rsidRDefault="00FA01F3" w:rsidP="00540CDE">
            <w:pPr>
              <w:rPr>
                <w:sz w:val="21"/>
                <w:szCs w:val="21"/>
              </w:rPr>
            </w:pPr>
            <w:r w:rsidRPr="000A109D">
              <w:rPr>
                <w:sz w:val="21"/>
                <w:szCs w:val="21"/>
              </w:rPr>
              <w:t>Threshold</w:t>
            </w:r>
          </w:p>
        </w:tc>
        <w:tc>
          <w:tcPr>
            <w:tcW w:w="992" w:type="dxa"/>
          </w:tcPr>
          <w:p w14:paraId="13DCF24F" w14:textId="77777777" w:rsidR="00FA01F3" w:rsidRPr="000A109D" w:rsidRDefault="00FA01F3" w:rsidP="00540CDE">
            <w:pPr>
              <w:rPr>
                <w:sz w:val="21"/>
                <w:szCs w:val="21"/>
              </w:rPr>
            </w:pPr>
            <w:r w:rsidRPr="000A109D">
              <w:rPr>
                <w:sz w:val="21"/>
                <w:szCs w:val="21"/>
              </w:rPr>
              <w:t>Tax rate</w:t>
            </w:r>
          </w:p>
        </w:tc>
      </w:tr>
      <w:tr w:rsidR="00FA01F3" w14:paraId="0FF720FA" w14:textId="77777777" w:rsidTr="002E2CC1">
        <w:tc>
          <w:tcPr>
            <w:tcW w:w="1951" w:type="dxa"/>
          </w:tcPr>
          <w:p w14:paraId="5E751ECF" w14:textId="77777777" w:rsidR="00FA01F3" w:rsidRPr="00222889" w:rsidRDefault="00FA01F3" w:rsidP="00540CDE">
            <w:pPr>
              <w:rPr>
                <w:sz w:val="20"/>
                <w:szCs w:val="20"/>
              </w:rPr>
            </w:pPr>
            <w:r w:rsidRPr="00222889">
              <w:rPr>
                <w:sz w:val="20"/>
                <w:szCs w:val="20"/>
              </w:rPr>
              <w:t>Personal allowance</w:t>
            </w:r>
          </w:p>
        </w:tc>
        <w:tc>
          <w:tcPr>
            <w:tcW w:w="2410" w:type="dxa"/>
          </w:tcPr>
          <w:p w14:paraId="4E2BD346" w14:textId="3A8A9815" w:rsidR="00FA01F3" w:rsidRPr="00222889" w:rsidRDefault="00243F0A" w:rsidP="00FA01F3">
            <w:pPr>
              <w:rPr>
                <w:sz w:val="20"/>
                <w:szCs w:val="20"/>
              </w:rPr>
            </w:pPr>
            <w:r>
              <w:rPr>
                <w:sz w:val="20"/>
                <w:szCs w:val="20"/>
              </w:rPr>
              <w:t xml:space="preserve">Up to </w:t>
            </w:r>
            <w:r w:rsidR="00FA01F3" w:rsidRPr="00222889">
              <w:rPr>
                <w:sz w:val="20"/>
                <w:szCs w:val="20"/>
              </w:rPr>
              <w:t>£1</w:t>
            </w:r>
            <w:r w:rsidR="00FA01F3">
              <w:rPr>
                <w:sz w:val="20"/>
                <w:szCs w:val="20"/>
              </w:rPr>
              <w:t>2</w:t>
            </w:r>
            <w:r w:rsidR="00FA01F3" w:rsidRPr="00222889">
              <w:rPr>
                <w:sz w:val="20"/>
                <w:szCs w:val="20"/>
              </w:rPr>
              <w:t>,50</w:t>
            </w:r>
            <w:r w:rsidR="00FA01F3">
              <w:rPr>
                <w:sz w:val="20"/>
                <w:szCs w:val="20"/>
              </w:rPr>
              <w:t>0*</w:t>
            </w:r>
          </w:p>
        </w:tc>
        <w:tc>
          <w:tcPr>
            <w:tcW w:w="1134" w:type="dxa"/>
          </w:tcPr>
          <w:p w14:paraId="025509BD" w14:textId="77777777" w:rsidR="00FA01F3" w:rsidRPr="00222889" w:rsidRDefault="00FA01F3" w:rsidP="00540CDE">
            <w:pPr>
              <w:rPr>
                <w:sz w:val="20"/>
                <w:szCs w:val="20"/>
              </w:rPr>
            </w:pPr>
            <w:r w:rsidRPr="00222889">
              <w:rPr>
                <w:sz w:val="20"/>
                <w:szCs w:val="20"/>
              </w:rPr>
              <w:t>0%</w:t>
            </w:r>
          </w:p>
        </w:tc>
        <w:tc>
          <w:tcPr>
            <w:tcW w:w="2410" w:type="dxa"/>
          </w:tcPr>
          <w:p w14:paraId="13633AF4" w14:textId="71F93E95" w:rsidR="00FA01F3" w:rsidRPr="00222889" w:rsidRDefault="00243F0A" w:rsidP="00FA01F3">
            <w:pPr>
              <w:rPr>
                <w:sz w:val="20"/>
                <w:szCs w:val="20"/>
              </w:rPr>
            </w:pPr>
            <w:r>
              <w:rPr>
                <w:sz w:val="20"/>
                <w:szCs w:val="20"/>
              </w:rPr>
              <w:t xml:space="preserve">Up to </w:t>
            </w:r>
            <w:bookmarkStart w:id="0" w:name="_GoBack"/>
            <w:bookmarkEnd w:id="0"/>
            <w:r w:rsidR="00FA01F3" w:rsidRPr="00222889">
              <w:rPr>
                <w:sz w:val="20"/>
                <w:szCs w:val="20"/>
              </w:rPr>
              <w:t>£1</w:t>
            </w:r>
            <w:r w:rsidR="00FA01F3">
              <w:rPr>
                <w:sz w:val="20"/>
                <w:szCs w:val="20"/>
              </w:rPr>
              <w:t>2</w:t>
            </w:r>
            <w:r w:rsidR="00FA01F3" w:rsidRPr="00222889">
              <w:rPr>
                <w:sz w:val="20"/>
                <w:szCs w:val="20"/>
              </w:rPr>
              <w:t>,5</w:t>
            </w:r>
            <w:r w:rsidR="00FA01F3">
              <w:rPr>
                <w:sz w:val="20"/>
                <w:szCs w:val="20"/>
              </w:rPr>
              <w:t>0</w:t>
            </w:r>
            <w:r w:rsidR="00FA01F3" w:rsidRPr="00222889">
              <w:rPr>
                <w:sz w:val="20"/>
                <w:szCs w:val="20"/>
              </w:rPr>
              <w:t>0</w:t>
            </w:r>
            <w:r w:rsidR="00FA01F3">
              <w:rPr>
                <w:sz w:val="20"/>
                <w:szCs w:val="20"/>
              </w:rPr>
              <w:t>*</w:t>
            </w:r>
          </w:p>
        </w:tc>
        <w:tc>
          <w:tcPr>
            <w:tcW w:w="992" w:type="dxa"/>
          </w:tcPr>
          <w:p w14:paraId="60D96B52" w14:textId="77777777" w:rsidR="00FA01F3" w:rsidRPr="00222889" w:rsidRDefault="00FA01F3" w:rsidP="00540CDE">
            <w:pPr>
              <w:rPr>
                <w:sz w:val="20"/>
                <w:szCs w:val="20"/>
              </w:rPr>
            </w:pPr>
            <w:r w:rsidRPr="00222889">
              <w:rPr>
                <w:sz w:val="20"/>
                <w:szCs w:val="20"/>
              </w:rPr>
              <w:t>0%</w:t>
            </w:r>
          </w:p>
        </w:tc>
      </w:tr>
      <w:tr w:rsidR="00FA01F3" w14:paraId="4E8E1886" w14:textId="77777777" w:rsidTr="002E2CC1">
        <w:tc>
          <w:tcPr>
            <w:tcW w:w="1951" w:type="dxa"/>
          </w:tcPr>
          <w:p w14:paraId="16B8D7C9" w14:textId="77777777" w:rsidR="00FA01F3" w:rsidRPr="00222889" w:rsidRDefault="00FA01F3" w:rsidP="00540CDE">
            <w:pPr>
              <w:rPr>
                <w:sz w:val="20"/>
                <w:szCs w:val="20"/>
              </w:rPr>
            </w:pPr>
            <w:r w:rsidRPr="00222889">
              <w:rPr>
                <w:sz w:val="20"/>
                <w:szCs w:val="20"/>
              </w:rPr>
              <w:t>Starter rate</w:t>
            </w:r>
          </w:p>
        </w:tc>
        <w:tc>
          <w:tcPr>
            <w:tcW w:w="2410" w:type="dxa"/>
          </w:tcPr>
          <w:p w14:paraId="4C3B0001" w14:textId="77777777" w:rsidR="00FA01F3" w:rsidRPr="00222889" w:rsidRDefault="00FA01F3" w:rsidP="00540CDE">
            <w:pPr>
              <w:rPr>
                <w:sz w:val="20"/>
                <w:szCs w:val="20"/>
              </w:rPr>
            </w:pPr>
            <w:r w:rsidRPr="00222889">
              <w:rPr>
                <w:sz w:val="20"/>
                <w:szCs w:val="20"/>
              </w:rPr>
              <w:t xml:space="preserve">n/a </w:t>
            </w:r>
          </w:p>
        </w:tc>
        <w:tc>
          <w:tcPr>
            <w:tcW w:w="1134" w:type="dxa"/>
          </w:tcPr>
          <w:p w14:paraId="0E7BF2DE" w14:textId="77777777" w:rsidR="00FA01F3" w:rsidRPr="00222889" w:rsidRDefault="00FA01F3" w:rsidP="00540CDE">
            <w:pPr>
              <w:rPr>
                <w:sz w:val="20"/>
                <w:szCs w:val="20"/>
              </w:rPr>
            </w:pPr>
            <w:r w:rsidRPr="00222889">
              <w:rPr>
                <w:sz w:val="20"/>
                <w:szCs w:val="20"/>
              </w:rPr>
              <w:t>n/a</w:t>
            </w:r>
          </w:p>
        </w:tc>
        <w:tc>
          <w:tcPr>
            <w:tcW w:w="2410" w:type="dxa"/>
          </w:tcPr>
          <w:p w14:paraId="4420F395" w14:textId="249CE5DC" w:rsidR="00FA01F3" w:rsidRPr="00222889" w:rsidRDefault="002E2CC1" w:rsidP="007E527A">
            <w:pPr>
              <w:rPr>
                <w:sz w:val="20"/>
                <w:szCs w:val="20"/>
              </w:rPr>
            </w:pPr>
            <w:r>
              <w:rPr>
                <w:sz w:val="20"/>
                <w:szCs w:val="20"/>
              </w:rPr>
              <w:t xml:space="preserve">Over </w:t>
            </w:r>
            <w:r w:rsidR="00FA01F3" w:rsidRPr="00222889">
              <w:rPr>
                <w:sz w:val="20"/>
                <w:szCs w:val="20"/>
              </w:rPr>
              <w:t>£</w:t>
            </w:r>
            <w:r w:rsidR="007E527A">
              <w:rPr>
                <w:sz w:val="20"/>
                <w:szCs w:val="20"/>
              </w:rPr>
              <w:t>12,500</w:t>
            </w:r>
            <w:r w:rsidR="00FA01F3" w:rsidRPr="00222889">
              <w:rPr>
                <w:sz w:val="20"/>
                <w:szCs w:val="20"/>
              </w:rPr>
              <w:t xml:space="preserve"> – £</w:t>
            </w:r>
            <w:r w:rsidR="007E527A">
              <w:rPr>
                <w:sz w:val="20"/>
                <w:szCs w:val="20"/>
              </w:rPr>
              <w:t>14,549</w:t>
            </w:r>
          </w:p>
        </w:tc>
        <w:tc>
          <w:tcPr>
            <w:tcW w:w="992" w:type="dxa"/>
          </w:tcPr>
          <w:p w14:paraId="3F2D792A" w14:textId="77777777" w:rsidR="00FA01F3" w:rsidRPr="00222889" w:rsidRDefault="00FA01F3" w:rsidP="00540CDE">
            <w:pPr>
              <w:rPr>
                <w:sz w:val="20"/>
                <w:szCs w:val="20"/>
              </w:rPr>
            </w:pPr>
            <w:r w:rsidRPr="00222889">
              <w:rPr>
                <w:sz w:val="20"/>
                <w:szCs w:val="20"/>
              </w:rPr>
              <w:t>19%</w:t>
            </w:r>
          </w:p>
        </w:tc>
      </w:tr>
      <w:tr w:rsidR="00FA01F3" w14:paraId="2F312172" w14:textId="77777777" w:rsidTr="002E2CC1">
        <w:tc>
          <w:tcPr>
            <w:tcW w:w="1951" w:type="dxa"/>
          </w:tcPr>
          <w:p w14:paraId="3C4FA578" w14:textId="77777777" w:rsidR="00FA01F3" w:rsidRPr="00222889" w:rsidRDefault="00FA01F3" w:rsidP="00540CDE">
            <w:pPr>
              <w:rPr>
                <w:sz w:val="20"/>
                <w:szCs w:val="20"/>
              </w:rPr>
            </w:pPr>
            <w:r w:rsidRPr="00222889">
              <w:rPr>
                <w:sz w:val="20"/>
                <w:szCs w:val="20"/>
              </w:rPr>
              <w:t>Basic rate</w:t>
            </w:r>
          </w:p>
        </w:tc>
        <w:tc>
          <w:tcPr>
            <w:tcW w:w="2410" w:type="dxa"/>
          </w:tcPr>
          <w:p w14:paraId="568BCFCC" w14:textId="44708C6F" w:rsidR="00FA01F3" w:rsidRPr="00222889" w:rsidRDefault="002E2CC1" w:rsidP="00FA38AF">
            <w:pPr>
              <w:rPr>
                <w:sz w:val="20"/>
                <w:szCs w:val="20"/>
              </w:rPr>
            </w:pPr>
            <w:r>
              <w:rPr>
                <w:sz w:val="20"/>
                <w:szCs w:val="20"/>
              </w:rPr>
              <w:t xml:space="preserve">Over </w:t>
            </w:r>
            <w:r w:rsidR="00FA01F3" w:rsidRPr="00222889">
              <w:rPr>
                <w:sz w:val="20"/>
                <w:szCs w:val="20"/>
              </w:rPr>
              <w:t>£1</w:t>
            </w:r>
            <w:r w:rsidR="00FA01F3">
              <w:rPr>
                <w:sz w:val="20"/>
                <w:szCs w:val="20"/>
              </w:rPr>
              <w:t>2</w:t>
            </w:r>
            <w:r w:rsidR="00FA01F3" w:rsidRPr="00222889">
              <w:rPr>
                <w:sz w:val="20"/>
                <w:szCs w:val="20"/>
              </w:rPr>
              <w:t>,</w:t>
            </w:r>
            <w:r w:rsidR="00FA01F3">
              <w:rPr>
                <w:sz w:val="20"/>
                <w:szCs w:val="20"/>
              </w:rPr>
              <w:t>500</w:t>
            </w:r>
            <w:r w:rsidR="00FA01F3" w:rsidRPr="00222889">
              <w:rPr>
                <w:sz w:val="20"/>
                <w:szCs w:val="20"/>
              </w:rPr>
              <w:t xml:space="preserve"> – £</w:t>
            </w:r>
            <w:r w:rsidR="00FA38AF">
              <w:rPr>
                <w:sz w:val="20"/>
                <w:szCs w:val="20"/>
              </w:rPr>
              <w:t>50,000</w:t>
            </w:r>
          </w:p>
        </w:tc>
        <w:tc>
          <w:tcPr>
            <w:tcW w:w="1134" w:type="dxa"/>
          </w:tcPr>
          <w:p w14:paraId="4CAFB1D4" w14:textId="77777777" w:rsidR="00FA01F3" w:rsidRPr="00222889" w:rsidRDefault="00FA01F3" w:rsidP="00540CDE">
            <w:pPr>
              <w:rPr>
                <w:sz w:val="20"/>
                <w:szCs w:val="20"/>
              </w:rPr>
            </w:pPr>
            <w:r w:rsidRPr="00222889">
              <w:rPr>
                <w:sz w:val="20"/>
                <w:szCs w:val="20"/>
              </w:rPr>
              <w:t>20%</w:t>
            </w:r>
          </w:p>
        </w:tc>
        <w:tc>
          <w:tcPr>
            <w:tcW w:w="2410" w:type="dxa"/>
          </w:tcPr>
          <w:p w14:paraId="0B46015D" w14:textId="322AEBE9" w:rsidR="00FA01F3" w:rsidRPr="00222889" w:rsidRDefault="002E2CC1" w:rsidP="007E527A">
            <w:pPr>
              <w:rPr>
                <w:sz w:val="20"/>
                <w:szCs w:val="20"/>
              </w:rPr>
            </w:pPr>
            <w:r>
              <w:rPr>
                <w:sz w:val="20"/>
                <w:szCs w:val="20"/>
              </w:rPr>
              <w:t xml:space="preserve">Over </w:t>
            </w:r>
            <w:r w:rsidR="007E527A">
              <w:rPr>
                <w:sz w:val="20"/>
                <w:szCs w:val="20"/>
              </w:rPr>
              <w:t xml:space="preserve">£14,549 </w:t>
            </w:r>
            <w:r w:rsidR="00FA01F3" w:rsidRPr="00222889">
              <w:rPr>
                <w:sz w:val="20"/>
                <w:szCs w:val="20"/>
              </w:rPr>
              <w:t>– £24,</w:t>
            </w:r>
            <w:r w:rsidR="007E527A">
              <w:rPr>
                <w:sz w:val="20"/>
                <w:szCs w:val="20"/>
              </w:rPr>
              <w:t>944</w:t>
            </w:r>
          </w:p>
        </w:tc>
        <w:tc>
          <w:tcPr>
            <w:tcW w:w="992" w:type="dxa"/>
          </w:tcPr>
          <w:p w14:paraId="17AEFD1E" w14:textId="77777777" w:rsidR="00FA01F3" w:rsidRPr="00222889" w:rsidRDefault="00FA01F3" w:rsidP="00540CDE">
            <w:pPr>
              <w:rPr>
                <w:sz w:val="20"/>
                <w:szCs w:val="20"/>
              </w:rPr>
            </w:pPr>
            <w:r w:rsidRPr="00222889">
              <w:rPr>
                <w:sz w:val="20"/>
                <w:szCs w:val="20"/>
              </w:rPr>
              <w:t>20%</w:t>
            </w:r>
          </w:p>
        </w:tc>
      </w:tr>
      <w:tr w:rsidR="00FA01F3" w14:paraId="584D8121" w14:textId="77777777" w:rsidTr="002E2CC1">
        <w:tc>
          <w:tcPr>
            <w:tcW w:w="1951" w:type="dxa"/>
          </w:tcPr>
          <w:p w14:paraId="0ADCD913" w14:textId="77777777" w:rsidR="00FA01F3" w:rsidRPr="00222889" w:rsidRDefault="00FA01F3" w:rsidP="00540CDE">
            <w:pPr>
              <w:rPr>
                <w:sz w:val="20"/>
                <w:szCs w:val="20"/>
              </w:rPr>
            </w:pPr>
            <w:r w:rsidRPr="00222889">
              <w:rPr>
                <w:sz w:val="20"/>
                <w:szCs w:val="20"/>
              </w:rPr>
              <w:t>Intermediate rate</w:t>
            </w:r>
          </w:p>
        </w:tc>
        <w:tc>
          <w:tcPr>
            <w:tcW w:w="2410" w:type="dxa"/>
          </w:tcPr>
          <w:p w14:paraId="55806C64" w14:textId="77777777" w:rsidR="00FA01F3" w:rsidRPr="00222889" w:rsidRDefault="00FA01F3" w:rsidP="00540CDE">
            <w:pPr>
              <w:rPr>
                <w:sz w:val="20"/>
                <w:szCs w:val="20"/>
              </w:rPr>
            </w:pPr>
            <w:r w:rsidRPr="00222889">
              <w:rPr>
                <w:sz w:val="20"/>
                <w:szCs w:val="20"/>
              </w:rPr>
              <w:t>n/a</w:t>
            </w:r>
          </w:p>
        </w:tc>
        <w:tc>
          <w:tcPr>
            <w:tcW w:w="1134" w:type="dxa"/>
          </w:tcPr>
          <w:p w14:paraId="3ACB24E6" w14:textId="77777777" w:rsidR="00FA01F3" w:rsidRPr="00222889" w:rsidRDefault="00FA01F3" w:rsidP="00540CDE">
            <w:pPr>
              <w:rPr>
                <w:sz w:val="20"/>
                <w:szCs w:val="20"/>
              </w:rPr>
            </w:pPr>
            <w:r w:rsidRPr="00222889">
              <w:rPr>
                <w:sz w:val="20"/>
                <w:szCs w:val="20"/>
              </w:rPr>
              <w:t>n/a</w:t>
            </w:r>
          </w:p>
        </w:tc>
        <w:tc>
          <w:tcPr>
            <w:tcW w:w="2410" w:type="dxa"/>
          </w:tcPr>
          <w:p w14:paraId="1E536CF7" w14:textId="33A90BF5" w:rsidR="00FA01F3" w:rsidRPr="00222889" w:rsidRDefault="002E2CC1" w:rsidP="007E527A">
            <w:pPr>
              <w:rPr>
                <w:sz w:val="20"/>
                <w:szCs w:val="20"/>
              </w:rPr>
            </w:pPr>
            <w:r>
              <w:rPr>
                <w:sz w:val="20"/>
                <w:szCs w:val="20"/>
              </w:rPr>
              <w:t xml:space="preserve">Over </w:t>
            </w:r>
            <w:r w:rsidR="00FA01F3" w:rsidRPr="00222889">
              <w:rPr>
                <w:sz w:val="20"/>
                <w:szCs w:val="20"/>
              </w:rPr>
              <w:t>£24,</w:t>
            </w:r>
            <w:r w:rsidR="007E527A">
              <w:rPr>
                <w:sz w:val="20"/>
                <w:szCs w:val="20"/>
              </w:rPr>
              <w:t>944</w:t>
            </w:r>
            <w:r w:rsidR="00FA01F3" w:rsidRPr="00222889">
              <w:rPr>
                <w:sz w:val="20"/>
                <w:szCs w:val="20"/>
              </w:rPr>
              <w:t xml:space="preserve"> – £43,430</w:t>
            </w:r>
          </w:p>
        </w:tc>
        <w:tc>
          <w:tcPr>
            <w:tcW w:w="992" w:type="dxa"/>
          </w:tcPr>
          <w:p w14:paraId="0187F84E" w14:textId="77777777" w:rsidR="00FA01F3" w:rsidRPr="00222889" w:rsidRDefault="00FA01F3" w:rsidP="00540CDE">
            <w:pPr>
              <w:rPr>
                <w:sz w:val="20"/>
                <w:szCs w:val="20"/>
              </w:rPr>
            </w:pPr>
            <w:r w:rsidRPr="00222889">
              <w:rPr>
                <w:sz w:val="20"/>
                <w:szCs w:val="20"/>
              </w:rPr>
              <w:t>21%</w:t>
            </w:r>
          </w:p>
        </w:tc>
      </w:tr>
      <w:tr w:rsidR="00FA01F3" w14:paraId="6BEF21FA" w14:textId="77777777" w:rsidTr="002E2CC1">
        <w:tc>
          <w:tcPr>
            <w:tcW w:w="1951" w:type="dxa"/>
          </w:tcPr>
          <w:p w14:paraId="305FC30E" w14:textId="77777777" w:rsidR="00FA01F3" w:rsidRPr="00222889" w:rsidRDefault="00FA01F3" w:rsidP="00540CDE">
            <w:pPr>
              <w:rPr>
                <w:sz w:val="20"/>
                <w:szCs w:val="20"/>
              </w:rPr>
            </w:pPr>
            <w:r w:rsidRPr="00222889">
              <w:rPr>
                <w:sz w:val="20"/>
                <w:szCs w:val="20"/>
              </w:rPr>
              <w:t>Higher rate</w:t>
            </w:r>
          </w:p>
        </w:tc>
        <w:tc>
          <w:tcPr>
            <w:tcW w:w="2410" w:type="dxa"/>
          </w:tcPr>
          <w:p w14:paraId="64CABCE3" w14:textId="2CDBBE8A" w:rsidR="00FA01F3" w:rsidRPr="00222889" w:rsidRDefault="002E2CC1" w:rsidP="00FA38AF">
            <w:pPr>
              <w:rPr>
                <w:sz w:val="20"/>
                <w:szCs w:val="20"/>
              </w:rPr>
            </w:pPr>
            <w:r>
              <w:rPr>
                <w:sz w:val="20"/>
                <w:szCs w:val="20"/>
              </w:rPr>
              <w:t xml:space="preserve">Over </w:t>
            </w:r>
            <w:r w:rsidR="00FA01F3" w:rsidRPr="00222889">
              <w:rPr>
                <w:sz w:val="20"/>
                <w:szCs w:val="20"/>
              </w:rPr>
              <w:t>£</w:t>
            </w:r>
            <w:r w:rsidR="00FA38AF">
              <w:rPr>
                <w:sz w:val="20"/>
                <w:szCs w:val="20"/>
              </w:rPr>
              <w:t>50,000</w:t>
            </w:r>
            <w:r w:rsidR="00FA01F3" w:rsidRPr="00222889">
              <w:rPr>
                <w:sz w:val="20"/>
                <w:szCs w:val="20"/>
              </w:rPr>
              <w:t xml:space="preserve"> – £150,000</w:t>
            </w:r>
          </w:p>
        </w:tc>
        <w:tc>
          <w:tcPr>
            <w:tcW w:w="1134" w:type="dxa"/>
          </w:tcPr>
          <w:p w14:paraId="50BD3146" w14:textId="77777777" w:rsidR="00FA01F3" w:rsidRPr="00222889" w:rsidRDefault="00FA01F3" w:rsidP="00540CDE">
            <w:pPr>
              <w:rPr>
                <w:sz w:val="20"/>
                <w:szCs w:val="20"/>
              </w:rPr>
            </w:pPr>
            <w:r w:rsidRPr="00222889">
              <w:rPr>
                <w:sz w:val="20"/>
                <w:szCs w:val="20"/>
              </w:rPr>
              <w:t>40%</w:t>
            </w:r>
          </w:p>
        </w:tc>
        <w:tc>
          <w:tcPr>
            <w:tcW w:w="2410" w:type="dxa"/>
          </w:tcPr>
          <w:p w14:paraId="051817FC" w14:textId="773C8653" w:rsidR="00FA01F3" w:rsidRPr="00222889" w:rsidRDefault="002E2CC1" w:rsidP="007E527A">
            <w:pPr>
              <w:rPr>
                <w:sz w:val="20"/>
                <w:szCs w:val="20"/>
              </w:rPr>
            </w:pPr>
            <w:r>
              <w:rPr>
                <w:sz w:val="20"/>
                <w:szCs w:val="20"/>
              </w:rPr>
              <w:t xml:space="preserve">Over </w:t>
            </w:r>
            <w:r w:rsidR="00FA01F3" w:rsidRPr="00222889">
              <w:rPr>
                <w:sz w:val="20"/>
                <w:szCs w:val="20"/>
              </w:rPr>
              <w:t>£43,43</w:t>
            </w:r>
            <w:r w:rsidR="007E527A">
              <w:rPr>
                <w:sz w:val="20"/>
                <w:szCs w:val="20"/>
              </w:rPr>
              <w:t>0</w:t>
            </w:r>
            <w:r w:rsidR="00FA01F3" w:rsidRPr="00222889">
              <w:rPr>
                <w:sz w:val="20"/>
                <w:szCs w:val="20"/>
              </w:rPr>
              <w:t xml:space="preserve"> – £150,000</w:t>
            </w:r>
          </w:p>
        </w:tc>
        <w:tc>
          <w:tcPr>
            <w:tcW w:w="992" w:type="dxa"/>
          </w:tcPr>
          <w:p w14:paraId="085CD1F4" w14:textId="77777777" w:rsidR="00FA01F3" w:rsidRPr="00222889" w:rsidRDefault="00FA01F3" w:rsidP="00540CDE">
            <w:pPr>
              <w:rPr>
                <w:sz w:val="20"/>
                <w:szCs w:val="20"/>
              </w:rPr>
            </w:pPr>
            <w:r w:rsidRPr="00222889">
              <w:rPr>
                <w:sz w:val="20"/>
                <w:szCs w:val="20"/>
              </w:rPr>
              <w:t>41%</w:t>
            </w:r>
          </w:p>
        </w:tc>
      </w:tr>
      <w:tr w:rsidR="00FA01F3" w14:paraId="5C4D94F9" w14:textId="77777777" w:rsidTr="002E2CC1">
        <w:tc>
          <w:tcPr>
            <w:tcW w:w="1951" w:type="dxa"/>
          </w:tcPr>
          <w:p w14:paraId="4FF777B2" w14:textId="77777777" w:rsidR="00FA01F3" w:rsidRPr="00222889" w:rsidRDefault="00FA01F3" w:rsidP="00540CDE">
            <w:pPr>
              <w:rPr>
                <w:sz w:val="20"/>
                <w:szCs w:val="20"/>
              </w:rPr>
            </w:pPr>
            <w:r w:rsidRPr="00222889">
              <w:rPr>
                <w:sz w:val="20"/>
                <w:szCs w:val="20"/>
              </w:rPr>
              <w:t>Additional rate</w:t>
            </w:r>
          </w:p>
        </w:tc>
        <w:tc>
          <w:tcPr>
            <w:tcW w:w="2410" w:type="dxa"/>
          </w:tcPr>
          <w:p w14:paraId="63B7B583" w14:textId="77777777" w:rsidR="00FA01F3" w:rsidRPr="00222889" w:rsidRDefault="00FA01F3" w:rsidP="00540CDE">
            <w:pPr>
              <w:rPr>
                <w:sz w:val="20"/>
                <w:szCs w:val="20"/>
              </w:rPr>
            </w:pPr>
            <w:r w:rsidRPr="00222889">
              <w:rPr>
                <w:sz w:val="20"/>
                <w:szCs w:val="20"/>
              </w:rPr>
              <w:t>Above £150,000</w:t>
            </w:r>
          </w:p>
        </w:tc>
        <w:tc>
          <w:tcPr>
            <w:tcW w:w="1134" w:type="dxa"/>
          </w:tcPr>
          <w:p w14:paraId="19BB583B" w14:textId="77777777" w:rsidR="00FA01F3" w:rsidRPr="00222889" w:rsidRDefault="00FA01F3" w:rsidP="00540CDE">
            <w:pPr>
              <w:rPr>
                <w:sz w:val="20"/>
                <w:szCs w:val="20"/>
              </w:rPr>
            </w:pPr>
            <w:r w:rsidRPr="00222889">
              <w:rPr>
                <w:sz w:val="20"/>
                <w:szCs w:val="20"/>
              </w:rPr>
              <w:t>45%</w:t>
            </w:r>
          </w:p>
        </w:tc>
        <w:tc>
          <w:tcPr>
            <w:tcW w:w="2410" w:type="dxa"/>
          </w:tcPr>
          <w:p w14:paraId="433489A7" w14:textId="77777777" w:rsidR="00FA01F3" w:rsidRPr="00222889" w:rsidRDefault="00FA01F3" w:rsidP="00540CDE">
            <w:pPr>
              <w:rPr>
                <w:sz w:val="20"/>
                <w:szCs w:val="20"/>
              </w:rPr>
            </w:pPr>
            <w:r w:rsidRPr="00222889">
              <w:rPr>
                <w:sz w:val="20"/>
                <w:szCs w:val="20"/>
              </w:rPr>
              <w:t>Above £150,000</w:t>
            </w:r>
          </w:p>
        </w:tc>
        <w:tc>
          <w:tcPr>
            <w:tcW w:w="992" w:type="dxa"/>
          </w:tcPr>
          <w:p w14:paraId="5191AAAD" w14:textId="77777777" w:rsidR="00FA01F3" w:rsidRPr="00222889" w:rsidRDefault="00FA01F3" w:rsidP="00540CDE">
            <w:pPr>
              <w:rPr>
                <w:sz w:val="20"/>
                <w:szCs w:val="20"/>
              </w:rPr>
            </w:pPr>
            <w:r w:rsidRPr="00222889">
              <w:rPr>
                <w:sz w:val="20"/>
                <w:szCs w:val="20"/>
              </w:rPr>
              <w:t>46%</w:t>
            </w:r>
          </w:p>
        </w:tc>
      </w:tr>
      <w:tr w:rsidR="002E2CC1" w:rsidRPr="002E2CC1" w14:paraId="1DACB220" w14:textId="77777777" w:rsidTr="00DC646F">
        <w:tc>
          <w:tcPr>
            <w:tcW w:w="8897" w:type="dxa"/>
            <w:gridSpan w:val="5"/>
          </w:tcPr>
          <w:p w14:paraId="3A7460A7" w14:textId="644F0DC8" w:rsidR="002E2CC1" w:rsidRPr="002E2CC1" w:rsidRDefault="002E2CC1" w:rsidP="002E2CC1">
            <w:pPr>
              <w:jc w:val="right"/>
              <w:rPr>
                <w:sz w:val="16"/>
                <w:szCs w:val="16"/>
              </w:rPr>
            </w:pPr>
            <w:r w:rsidRPr="002E2CC1">
              <w:rPr>
                <w:sz w:val="16"/>
                <w:szCs w:val="16"/>
              </w:rPr>
              <w:t xml:space="preserve">Sources: </w:t>
            </w:r>
            <w:hyperlink r:id="rId6" w:history="1">
              <w:r w:rsidRPr="002E2CC1">
                <w:rPr>
                  <w:rStyle w:val="Hyperlink"/>
                  <w:sz w:val="16"/>
                  <w:szCs w:val="16"/>
                </w:rPr>
                <w:t>GOV.UK</w:t>
              </w:r>
            </w:hyperlink>
            <w:r>
              <w:rPr>
                <w:sz w:val="16"/>
                <w:szCs w:val="16"/>
              </w:rPr>
              <w:t xml:space="preserve"> | </w:t>
            </w:r>
            <w:hyperlink r:id="rId7" w:history="1">
              <w:r w:rsidRPr="002E2CC1">
                <w:rPr>
                  <w:rStyle w:val="Hyperlink"/>
                  <w:sz w:val="16"/>
                  <w:szCs w:val="16"/>
                </w:rPr>
                <w:t>GOV.SCOT</w:t>
              </w:r>
            </w:hyperlink>
          </w:p>
        </w:tc>
      </w:tr>
    </w:tbl>
    <w:p w14:paraId="27590467" w14:textId="1CA76163" w:rsidR="00FA01F3" w:rsidRDefault="00FA01F3" w:rsidP="00FA01F3">
      <w:pPr>
        <w:pStyle w:val="NoSpacing"/>
        <w:rPr>
          <w:sz w:val="16"/>
          <w:szCs w:val="16"/>
        </w:rPr>
      </w:pPr>
      <w:r>
        <w:rPr>
          <w:sz w:val="16"/>
          <w:szCs w:val="16"/>
        </w:rPr>
        <w:t>*</w:t>
      </w:r>
      <w:r w:rsidRPr="00222889">
        <w:rPr>
          <w:sz w:val="16"/>
          <w:szCs w:val="16"/>
        </w:rPr>
        <w:t>Personal allowance reduces by £1 for every £2 of income above £100,000</w:t>
      </w:r>
      <w:r>
        <w:rPr>
          <w:sz w:val="16"/>
          <w:szCs w:val="16"/>
        </w:rPr>
        <w:t>, up to £12</w:t>
      </w:r>
      <w:r w:rsidR="0031589C">
        <w:rPr>
          <w:sz w:val="16"/>
          <w:szCs w:val="16"/>
        </w:rPr>
        <w:t>5</w:t>
      </w:r>
      <w:r>
        <w:rPr>
          <w:sz w:val="16"/>
          <w:szCs w:val="16"/>
        </w:rPr>
        <w:t>,</w:t>
      </w:r>
      <w:r w:rsidR="0031589C">
        <w:rPr>
          <w:sz w:val="16"/>
          <w:szCs w:val="16"/>
        </w:rPr>
        <w:t>0</w:t>
      </w:r>
      <w:r>
        <w:rPr>
          <w:sz w:val="16"/>
          <w:szCs w:val="16"/>
        </w:rPr>
        <w:t>00</w:t>
      </w:r>
      <w:r w:rsidRPr="00222889">
        <w:rPr>
          <w:sz w:val="16"/>
          <w:szCs w:val="16"/>
        </w:rPr>
        <w:t>.</w:t>
      </w:r>
    </w:p>
    <w:p w14:paraId="1D0AA522" w14:textId="77777777" w:rsidR="00FA01F3" w:rsidRDefault="00FA01F3" w:rsidP="00FA01F3">
      <w:pPr>
        <w:pStyle w:val="NoSpacing"/>
        <w:rPr>
          <w:sz w:val="16"/>
          <w:szCs w:val="16"/>
        </w:rPr>
      </w:pPr>
    </w:p>
    <w:p w14:paraId="3C6DC84B" w14:textId="77777777" w:rsidR="00FA01F3" w:rsidRDefault="00FA01F3" w:rsidP="00FA01F3">
      <w:pPr>
        <w:pStyle w:val="Heading2"/>
      </w:pPr>
      <w:r>
        <w:t>Dividends</w:t>
      </w:r>
    </w:p>
    <w:p w14:paraId="5AA9AEE6" w14:textId="77777777" w:rsidR="007E527A" w:rsidRDefault="00FA01F3" w:rsidP="00FA01F3">
      <w:r>
        <w:t xml:space="preserve">The annual dividend allowance </w:t>
      </w:r>
      <w:r w:rsidR="007E527A">
        <w:t xml:space="preserve">remains at £2,000 for 2019/20 after reducing from £5,000 this time last year. </w:t>
      </w:r>
    </w:p>
    <w:p w14:paraId="3AA79C99" w14:textId="77777777" w:rsidR="00FA01F3" w:rsidRDefault="00FA01F3" w:rsidP="00FA01F3">
      <w:r>
        <w:t xml:space="preserve">With the </w:t>
      </w:r>
      <w:r w:rsidR="007E527A">
        <w:t xml:space="preserve">new </w:t>
      </w:r>
      <w:r>
        <w:t xml:space="preserve">personal allowance </w:t>
      </w:r>
      <w:r w:rsidR="00BA3D64">
        <w:t xml:space="preserve">of £12,500 </w:t>
      </w:r>
      <w:r>
        <w:t xml:space="preserve">added to the </w:t>
      </w:r>
      <w:r w:rsidR="00BA3D64">
        <w:t xml:space="preserve">frozen </w:t>
      </w:r>
      <w:r>
        <w:t>dividend allowance, the maximum tax-free income you can receive through dividends is £1</w:t>
      </w:r>
      <w:r w:rsidR="007E527A">
        <w:t>4</w:t>
      </w:r>
      <w:r>
        <w:t>,5</w:t>
      </w:r>
      <w:r w:rsidR="007E527A">
        <w:t>0</w:t>
      </w:r>
      <w:r>
        <w:t xml:space="preserve">0 </w:t>
      </w:r>
      <w:r w:rsidR="007E527A">
        <w:t>in</w:t>
      </w:r>
      <w:r>
        <w:t xml:space="preserve"> 2019</w:t>
      </w:r>
      <w:r w:rsidR="007E527A">
        <w:t>/20</w:t>
      </w:r>
      <w:r>
        <w:t xml:space="preserve">. </w:t>
      </w:r>
    </w:p>
    <w:p w14:paraId="4B2F7AC3" w14:textId="035A33B3" w:rsidR="00FA01F3" w:rsidRDefault="00FA01F3" w:rsidP="00FA01F3">
      <w:r>
        <w:t>Anything</w:t>
      </w:r>
      <w:r w:rsidR="001D6447">
        <w:t xml:space="preserve"> not already covered by the personal allowance is taxed</w:t>
      </w:r>
      <w:r>
        <w:t xml:space="preserve"> at the following rates, regardless of where you </w:t>
      </w:r>
      <w:r w:rsidR="00BA3D64">
        <w:t>live</w:t>
      </w:r>
      <w:r>
        <w:t xml:space="preserve"> in the UK:</w:t>
      </w:r>
    </w:p>
    <w:p w14:paraId="77857B3B" w14:textId="27B7EAF9" w:rsidR="00FA01F3" w:rsidRDefault="007E527A" w:rsidP="00FA01F3">
      <w:pPr>
        <w:pStyle w:val="ListParagraph"/>
        <w:numPr>
          <w:ilvl w:val="0"/>
          <w:numId w:val="2"/>
        </w:numPr>
      </w:pPr>
      <w:r>
        <w:t>7.5% for basic-</w:t>
      </w:r>
      <w:r w:rsidR="00FA01F3">
        <w:t xml:space="preserve">rate taxpayers – </w:t>
      </w:r>
      <w:r w:rsidR="002E2CC1">
        <w:t xml:space="preserve">over </w:t>
      </w:r>
      <w:r w:rsidR="00FA01F3">
        <w:t>£1</w:t>
      </w:r>
      <w:r>
        <w:t>4</w:t>
      </w:r>
      <w:r w:rsidR="00FA01F3">
        <w:t>,50</w:t>
      </w:r>
      <w:r>
        <w:t>0</w:t>
      </w:r>
      <w:r w:rsidR="00FA01F3">
        <w:t xml:space="preserve"> to £</w:t>
      </w:r>
      <w:r>
        <w:t>50,000</w:t>
      </w:r>
    </w:p>
    <w:p w14:paraId="56D571F4" w14:textId="47D09383" w:rsidR="00FA01F3" w:rsidRDefault="007E527A" w:rsidP="00FA01F3">
      <w:pPr>
        <w:pStyle w:val="ListParagraph"/>
        <w:numPr>
          <w:ilvl w:val="0"/>
          <w:numId w:val="2"/>
        </w:numPr>
      </w:pPr>
      <w:r>
        <w:t>32.5% for higher-</w:t>
      </w:r>
      <w:r w:rsidR="00FA01F3">
        <w:t xml:space="preserve">rate taxpayers – </w:t>
      </w:r>
      <w:r w:rsidR="002E2CC1">
        <w:t xml:space="preserve">over </w:t>
      </w:r>
      <w:r w:rsidR="00FA01F3">
        <w:t>£</w:t>
      </w:r>
      <w:r>
        <w:t>50,000</w:t>
      </w:r>
      <w:r w:rsidR="00FA01F3">
        <w:t xml:space="preserve"> to £150,000 </w:t>
      </w:r>
    </w:p>
    <w:p w14:paraId="558190A8" w14:textId="77777777" w:rsidR="00FA01F3" w:rsidRDefault="007E527A" w:rsidP="00FA01F3">
      <w:pPr>
        <w:pStyle w:val="ListParagraph"/>
        <w:numPr>
          <w:ilvl w:val="0"/>
          <w:numId w:val="2"/>
        </w:numPr>
      </w:pPr>
      <w:r>
        <w:t>38.1% for additional-</w:t>
      </w:r>
      <w:r w:rsidR="00FA01F3">
        <w:t xml:space="preserve">rate taxpayers – above £150,000. </w:t>
      </w:r>
    </w:p>
    <w:p w14:paraId="66974FE6" w14:textId="77777777" w:rsidR="00FA01F3" w:rsidRDefault="00FA01F3" w:rsidP="00FA01F3">
      <w:pPr>
        <w:pStyle w:val="Heading2"/>
      </w:pPr>
      <w:r>
        <w:t>Capital gains</w:t>
      </w:r>
    </w:p>
    <w:p w14:paraId="55E126B6" w14:textId="367DFA53" w:rsidR="0085058C" w:rsidRDefault="0085058C" w:rsidP="00FA01F3">
      <w:r>
        <w:t xml:space="preserve">If you own any </w:t>
      </w:r>
      <w:r w:rsidR="001D6447">
        <w:t xml:space="preserve">chargeable </w:t>
      </w:r>
      <w:r>
        <w:t xml:space="preserve">assets that have increased in value when the time comes to sell, your profit may be liable to capital gains tax (CGT). </w:t>
      </w:r>
    </w:p>
    <w:p w14:paraId="3996ED22" w14:textId="22C287A5" w:rsidR="0085058C" w:rsidRDefault="0085058C" w:rsidP="00FA01F3">
      <w:r>
        <w:t xml:space="preserve">The tax-free allowance for these gains in 2019/20 is £12,000, or £6,000 </w:t>
      </w:r>
      <w:r w:rsidR="00E66EBE">
        <w:t>f</w:t>
      </w:r>
      <w:r>
        <w:t xml:space="preserve">or assets held in trust. </w:t>
      </w:r>
    </w:p>
    <w:p w14:paraId="6E140319" w14:textId="7CD8C0E2" w:rsidR="00FA01F3" w:rsidRDefault="001D6447" w:rsidP="00FA01F3">
      <w:r>
        <w:lastRenderedPageBreak/>
        <w:t xml:space="preserve">If any gain over and above the tax-free allowance </w:t>
      </w:r>
      <w:r w:rsidR="00FA01F3">
        <w:t>when added to your income is within your b</w:t>
      </w:r>
      <w:r w:rsidR="005A6B52">
        <w:t>asic-</w:t>
      </w:r>
      <w:r w:rsidR="00FA01F3">
        <w:t>rate band, CGT will be paid at the rate of 10%. Once the</w:t>
      </w:r>
      <w:r w:rsidR="005A6B52">
        <w:t xml:space="preserve"> gain takes you into the higher-</w:t>
      </w:r>
      <w:r w:rsidR="00FA01F3">
        <w:t>rate band, CGT is payable at 20%.</w:t>
      </w:r>
    </w:p>
    <w:p w14:paraId="10C7B671" w14:textId="3D773682" w:rsidR="00FA01F3" w:rsidRDefault="00FA01F3" w:rsidP="00FA01F3">
      <w:r>
        <w:t xml:space="preserve">The rates </w:t>
      </w:r>
      <w:r w:rsidR="0085058C">
        <w:t>differ</w:t>
      </w:r>
      <w:r>
        <w:t xml:space="preserve"> i</w:t>
      </w:r>
      <w:r w:rsidR="0085058C">
        <w:t>f you a</w:t>
      </w:r>
      <w:r>
        <w:t>re selling residential property</w:t>
      </w:r>
      <w:r w:rsidR="001D6447">
        <w:t xml:space="preserve"> which is not your principal private residence</w:t>
      </w:r>
      <w:r>
        <w:t>, at 18% in the b</w:t>
      </w:r>
      <w:r w:rsidR="005A6B52">
        <w:t>asic-</w:t>
      </w:r>
      <w:r>
        <w:t>rate band</w:t>
      </w:r>
      <w:r w:rsidR="005A6B52">
        <w:t xml:space="preserve"> and 28% above the basic-</w:t>
      </w:r>
      <w:r>
        <w:t>rate band.</w:t>
      </w:r>
    </w:p>
    <w:p w14:paraId="58AED74E" w14:textId="77777777" w:rsidR="00FA01F3" w:rsidRDefault="00FA01F3" w:rsidP="00FA01F3">
      <w:pPr>
        <w:pStyle w:val="Heading2"/>
      </w:pPr>
      <w:r>
        <w:t>Extra income</w:t>
      </w:r>
    </w:p>
    <w:p w14:paraId="4686A566" w14:textId="77777777" w:rsidR="00FA01F3" w:rsidRDefault="00FA01F3" w:rsidP="00FA01F3">
      <w:r>
        <w:t>Some smaller amounts of income are tax-free up to annual limits.</w:t>
      </w:r>
    </w:p>
    <w:p w14:paraId="368420A2" w14:textId="77777777" w:rsidR="00FA01F3" w:rsidRDefault="005A6B52" w:rsidP="00FA01F3">
      <w:r>
        <w:t>Under the Government’s rent-a-</w:t>
      </w:r>
      <w:r w:rsidR="00FA01F3">
        <w:t xml:space="preserve">room scheme, you can </w:t>
      </w:r>
      <w:r w:rsidR="0085058C">
        <w:t xml:space="preserve">continue to </w:t>
      </w:r>
      <w:r w:rsidR="00FA01F3">
        <w:t xml:space="preserve">earn </w:t>
      </w:r>
      <w:r>
        <w:t xml:space="preserve">tax-free income of </w:t>
      </w:r>
      <w:r w:rsidR="00FA01F3">
        <w:t xml:space="preserve">up to £7,500 a year from letting out a furnished room in your home. </w:t>
      </w:r>
    </w:p>
    <w:p w14:paraId="55754BEA" w14:textId="42DE8C6E" w:rsidR="00C56F7B" w:rsidRDefault="00FA01F3" w:rsidP="00FA01F3">
      <w:r>
        <w:t>You</w:t>
      </w:r>
      <w:r w:rsidR="005A6B52">
        <w:t xml:space="preserve"> can opt into the scheme if you </w:t>
      </w:r>
      <w:r w:rsidR="00C56F7B">
        <w:t xml:space="preserve">earn more than this amount from renting a room and want to claim the allowance, although it may be more tax-efficient to deduct expenses from such income. </w:t>
      </w:r>
    </w:p>
    <w:p w14:paraId="31D58E17" w14:textId="54107694" w:rsidR="00FA01F3" w:rsidRDefault="00FA01F3" w:rsidP="00FA01F3">
      <w:r>
        <w:t xml:space="preserve">This also includes renting out your spare room through Airbnb, so you could take advantage of the allowance by letting a room </w:t>
      </w:r>
      <w:r w:rsidR="00C56F7B">
        <w:t xml:space="preserve">in your main home </w:t>
      </w:r>
      <w:r>
        <w:t>to holidaymakers over short periods of time.</w:t>
      </w:r>
    </w:p>
    <w:p w14:paraId="1418B463" w14:textId="78CDB2C6" w:rsidR="00FA01F3" w:rsidRDefault="00FA01F3" w:rsidP="00FA01F3">
      <w:r>
        <w:t>The relief is halved if you share the income, for instance</w:t>
      </w:r>
      <w:r w:rsidR="005A6B52">
        <w:t>,</w:t>
      </w:r>
      <w:r>
        <w:t xml:space="preserve"> with your partner.</w:t>
      </w:r>
      <w:r w:rsidR="002E2CC1">
        <w:t xml:space="preserve"> </w:t>
      </w:r>
      <w:r>
        <w:t>If you let property that does</w:t>
      </w:r>
      <w:r w:rsidR="005A6B52">
        <w:t xml:space="preserve"> no</w:t>
      </w:r>
      <w:r>
        <w:t>t qualify for the scheme, a £1,000</w:t>
      </w:r>
      <w:r w:rsidR="001D6447">
        <w:t xml:space="preserve"> property</w:t>
      </w:r>
      <w:r>
        <w:t xml:space="preserve"> allowance applies instead.</w:t>
      </w:r>
    </w:p>
    <w:p w14:paraId="12CCFA1B" w14:textId="7A0A18A3" w:rsidR="00FA01F3" w:rsidRDefault="00FA01F3" w:rsidP="00FA01F3">
      <w:r>
        <w:t>There’s also a £1,000</w:t>
      </w:r>
      <w:r w:rsidR="001D6447">
        <w:t xml:space="preserve"> trading</w:t>
      </w:r>
      <w:r>
        <w:t xml:space="preserve"> allowance that applies to any income from trading, which could apply if you sell in small amounts on eBay or Etsy.</w:t>
      </w:r>
    </w:p>
    <w:p w14:paraId="5CA3A3DD" w14:textId="70602351" w:rsidR="00FA01F3" w:rsidRDefault="00FA01F3" w:rsidP="00FA01F3">
      <w:r>
        <w:t>If you claim</w:t>
      </w:r>
      <w:r w:rsidR="001D6447">
        <w:t xml:space="preserve"> any of</w:t>
      </w:r>
      <w:r>
        <w:t xml:space="preserve"> these allowances, you won’t be able to deduct any business expenses.</w:t>
      </w:r>
    </w:p>
    <w:p w14:paraId="0CD24F1F" w14:textId="7F1637E4" w:rsidR="005A6B52" w:rsidRDefault="00FA01F3" w:rsidP="0085058C">
      <w:pPr>
        <w:pStyle w:val="Heading2"/>
      </w:pPr>
      <w:r>
        <w:t>Foreign income</w:t>
      </w:r>
    </w:p>
    <w:p w14:paraId="7B321912" w14:textId="4BB15EE9" w:rsidR="0055478D" w:rsidRDefault="00875D22" w:rsidP="00FA01F3">
      <w:r>
        <w:t>How many days you spend in the UK determines your residential status for UK tax purposes</w:t>
      </w:r>
      <w:r w:rsidR="001D6447">
        <w:t>, although rules surrounding this are very complex</w:t>
      </w:r>
      <w:r>
        <w:t xml:space="preserve">. </w:t>
      </w:r>
    </w:p>
    <w:p w14:paraId="2B29E263" w14:textId="6EBDD878" w:rsidR="00FA01F3" w:rsidRDefault="00FA01F3" w:rsidP="00FA01F3">
      <w:r>
        <w:t xml:space="preserve">If you are </w:t>
      </w:r>
      <w:r w:rsidR="0031589C">
        <w:t xml:space="preserve">a </w:t>
      </w:r>
      <w:r>
        <w:t xml:space="preserve">UK resident but not domiciled </w:t>
      </w:r>
      <w:r w:rsidR="0031589C">
        <w:t>here</w:t>
      </w:r>
      <w:r>
        <w:t>, you may need to pay UK tax on your foreign income.</w:t>
      </w:r>
    </w:p>
    <w:p w14:paraId="00DEAEAF" w14:textId="35F3B1A3" w:rsidR="00FA01F3" w:rsidRDefault="00FA01F3" w:rsidP="00FA01F3">
      <w:r>
        <w:t xml:space="preserve">Foreign income or gains for non-domiciled </w:t>
      </w:r>
      <w:r w:rsidR="004069ED">
        <w:t xml:space="preserve">UK tax </w:t>
      </w:r>
      <w:r>
        <w:t xml:space="preserve">residents will be taxed if they </w:t>
      </w:r>
      <w:r w:rsidR="0044522D">
        <w:t>exceed</w:t>
      </w:r>
      <w:r>
        <w:t xml:space="preserve"> £2,000 in </w:t>
      </w:r>
      <w:r w:rsidR="0044522D">
        <w:t>2019/20, or if they a</w:t>
      </w:r>
      <w:r>
        <w:t>re brought into the UK</w:t>
      </w:r>
      <w:r w:rsidR="0044522D">
        <w:t>, including if they a</w:t>
      </w:r>
      <w:r>
        <w:t xml:space="preserve">re moved to a </w:t>
      </w:r>
      <w:r w:rsidR="00183123">
        <w:t xml:space="preserve">UK </w:t>
      </w:r>
      <w:r>
        <w:t>bank account.</w:t>
      </w:r>
    </w:p>
    <w:p w14:paraId="79E02452" w14:textId="5C4FE1DD" w:rsidR="0044522D" w:rsidRDefault="00FA01F3" w:rsidP="00FA01F3">
      <w:r>
        <w:t>If you have foreign income of more than £2,000, you may be able to claim the re</w:t>
      </w:r>
      <w:r w:rsidR="0044522D">
        <w:t xml:space="preserve">mittance basis, which means you will only pay tax on what you bring into the UK. </w:t>
      </w:r>
    </w:p>
    <w:p w14:paraId="26DE5933" w14:textId="51AB96D9" w:rsidR="00FA01F3" w:rsidRDefault="00183123" w:rsidP="00FA01F3">
      <w:r>
        <w:t>Y</w:t>
      </w:r>
      <w:r w:rsidR="0044522D">
        <w:t xml:space="preserve">ou will lose your tax-free allowances and may have to pay an annual charge if you go down this route. </w:t>
      </w:r>
      <w:r w:rsidR="004069ED">
        <w:t>If you do not claim the remittance basis you will pay UK tax on your worldwide income.</w:t>
      </w:r>
    </w:p>
    <w:p w14:paraId="3B10BED6" w14:textId="77777777" w:rsidR="00FA01F3" w:rsidRDefault="00FA01F3" w:rsidP="00FA01F3">
      <w:pPr>
        <w:pStyle w:val="Heading1"/>
      </w:pPr>
      <w:r>
        <w:t>Savings</w:t>
      </w:r>
    </w:p>
    <w:p w14:paraId="0C75F242" w14:textId="77777777" w:rsidR="0044522D" w:rsidRDefault="0044522D" w:rsidP="00FA01F3">
      <w:r>
        <w:t>Reviewing how your savings are performing is always a must-do in terms of maximising tax efficiency.</w:t>
      </w:r>
    </w:p>
    <w:p w14:paraId="23DB91A4" w14:textId="7E32B383" w:rsidR="00FA01F3" w:rsidRPr="00295872" w:rsidRDefault="0044522D" w:rsidP="00FA01F3">
      <w:r>
        <w:t>Whether you a</w:t>
      </w:r>
      <w:r w:rsidR="00FA01F3">
        <w:t xml:space="preserve">re </w:t>
      </w:r>
      <w:r>
        <w:t>protect</w:t>
      </w:r>
      <w:r w:rsidR="00C67C58">
        <w:t>ing</w:t>
      </w:r>
      <w:r>
        <w:t xml:space="preserve"> your wealth from tax or </w:t>
      </w:r>
      <w:r w:rsidR="00FA01F3">
        <w:t>aiming to grow</w:t>
      </w:r>
      <w:r>
        <w:t xml:space="preserve"> it,</w:t>
      </w:r>
      <w:r w:rsidR="00FA01F3">
        <w:t xml:space="preserve"> </w:t>
      </w:r>
      <w:r>
        <w:t>think about where you are</w:t>
      </w:r>
      <w:r w:rsidR="00FA01F3">
        <w:t xml:space="preserve"> putting money each year.</w:t>
      </w:r>
    </w:p>
    <w:p w14:paraId="396EF4E1" w14:textId="77777777" w:rsidR="00FA01F3" w:rsidRDefault="00FA01F3" w:rsidP="00FA01F3">
      <w:pPr>
        <w:pStyle w:val="Heading2"/>
      </w:pPr>
      <w:r>
        <w:lastRenderedPageBreak/>
        <w:t>Personal savings allowance</w:t>
      </w:r>
    </w:p>
    <w:p w14:paraId="70B52D55" w14:textId="77777777" w:rsidR="00FA01F3" w:rsidRDefault="00FA01F3" w:rsidP="00FA01F3">
      <w:r>
        <w:t>Your personal savings allowance allows you to earn up to £1,000 in interest from your savings each year, without paying any tax.</w:t>
      </w:r>
    </w:p>
    <w:p w14:paraId="71990EA9" w14:textId="77777777" w:rsidR="00FA01F3" w:rsidRDefault="00FA01F3" w:rsidP="00FA01F3">
      <w:r>
        <w:t>This is reduced to £500 for higher</w:t>
      </w:r>
      <w:r w:rsidR="0044522D">
        <w:t>-</w:t>
      </w:r>
      <w:r>
        <w:t>rate taxpayers, and is removed altogether for additional</w:t>
      </w:r>
      <w:r w:rsidR="0044522D">
        <w:t>-</w:t>
      </w:r>
      <w:r>
        <w:t>rate taxpayers.</w:t>
      </w:r>
    </w:p>
    <w:p w14:paraId="4A54014B" w14:textId="3EC6E7C3" w:rsidR="009C2A9D" w:rsidRDefault="009C2A9D" w:rsidP="009C2A9D">
      <w:r>
        <w:t xml:space="preserve">It’s also possible to make use of the starting rate for savings, which allows up to £5,000 of tax-free interest in certain circumstances. </w:t>
      </w:r>
    </w:p>
    <w:p w14:paraId="70DC3116" w14:textId="25064C03" w:rsidR="009C2A9D" w:rsidRDefault="009C2A9D" w:rsidP="00363FBB">
      <w:pPr>
        <w:rPr>
          <w:lang w:eastAsia="en-GB"/>
        </w:rPr>
      </w:pPr>
      <w:r w:rsidRPr="00C67C58">
        <w:rPr>
          <w:lang w:eastAsia="en-GB"/>
        </w:rPr>
        <w:t xml:space="preserve">The </w:t>
      </w:r>
      <w:r>
        <w:rPr>
          <w:lang w:eastAsia="en-GB"/>
        </w:rPr>
        <w:t>more you earn from other income, such as your wages or pension</w:t>
      </w:r>
      <w:r w:rsidRPr="00C67C58">
        <w:rPr>
          <w:lang w:eastAsia="en-GB"/>
        </w:rPr>
        <w:t>, the less your starting rate for savings will be.</w:t>
      </w:r>
    </w:p>
    <w:p w14:paraId="17D4621B" w14:textId="77777777" w:rsidR="00FA01F3" w:rsidRDefault="00FA01F3" w:rsidP="00FA01F3">
      <w:pPr>
        <w:pStyle w:val="Heading2"/>
      </w:pPr>
      <w:r>
        <w:t>ISAs</w:t>
      </w:r>
    </w:p>
    <w:p w14:paraId="49C47143" w14:textId="77777777" w:rsidR="00FA01F3" w:rsidRDefault="00FA01F3" w:rsidP="00FA01F3">
      <w:r>
        <w:t>ISAs</w:t>
      </w:r>
      <w:r w:rsidR="0044522D">
        <w:t xml:space="preserve"> are tax-</w:t>
      </w:r>
      <w:r>
        <w:t>free up to a value of £20,000, whether on interest or on income from investments.</w:t>
      </w:r>
    </w:p>
    <w:p w14:paraId="1039EDCF" w14:textId="4D142B30" w:rsidR="00FA01F3" w:rsidRDefault="002E0F24" w:rsidP="0044522D">
      <w:r>
        <w:t>T</w:t>
      </w:r>
      <w:r w:rsidR="00FA01F3">
        <w:t>ypes of ISA</w:t>
      </w:r>
      <w:r>
        <w:t xml:space="preserve"> include</w:t>
      </w:r>
      <w:r w:rsidR="0044522D">
        <w:t xml:space="preserve"> </w:t>
      </w:r>
      <w:r w:rsidR="00FA01F3">
        <w:t>cash</w:t>
      </w:r>
      <w:r w:rsidR="0044522D">
        <w:t xml:space="preserve">, </w:t>
      </w:r>
      <w:r w:rsidR="00FA01F3">
        <w:t>stocks and shares</w:t>
      </w:r>
      <w:r w:rsidR="0044522D">
        <w:t xml:space="preserve">, </w:t>
      </w:r>
      <w:r w:rsidR="00FA01F3">
        <w:t>innovative finance ISA</w:t>
      </w:r>
      <w:r w:rsidR="0044522D">
        <w:t xml:space="preserve">s, </w:t>
      </w:r>
      <w:r w:rsidR="00FA01F3">
        <w:t>lifetime ISA</w:t>
      </w:r>
      <w:r w:rsidR="0044522D">
        <w:t xml:space="preserve">s, and junior ISAs </w:t>
      </w:r>
      <w:r w:rsidR="00FA01F3">
        <w:t xml:space="preserve">for </w:t>
      </w:r>
      <w:r w:rsidR="0044522D">
        <w:t>under-</w:t>
      </w:r>
      <w:r w:rsidR="00FA01F3">
        <w:t>18</w:t>
      </w:r>
      <w:r w:rsidR="0044522D">
        <w:t>s</w:t>
      </w:r>
      <w:r w:rsidR="00FA01F3">
        <w:t>.</w:t>
      </w:r>
    </w:p>
    <w:p w14:paraId="1964E935" w14:textId="77777777" w:rsidR="0044522D" w:rsidRDefault="00C845EC" w:rsidP="0044522D">
      <w:r>
        <w:t>You can opt to put</w:t>
      </w:r>
      <w:r w:rsidR="0044522D">
        <w:t xml:space="preserve"> all your savings in one type of ISA</w:t>
      </w:r>
      <w:r>
        <w:t>,</w:t>
      </w:r>
      <w:r w:rsidR="0044522D">
        <w:t xml:space="preserve"> or you c</w:t>
      </w:r>
      <w:r>
        <w:t>ould</w:t>
      </w:r>
      <w:r w:rsidR="0044522D">
        <w:t xml:space="preserve"> split them across several items.</w:t>
      </w:r>
    </w:p>
    <w:p w14:paraId="4F5342E9" w14:textId="5986ABC2" w:rsidR="00FA01F3" w:rsidRDefault="0044522D" w:rsidP="00FA01F3">
      <w:r>
        <w:t>Bear</w:t>
      </w:r>
      <w:r w:rsidR="00FA01F3">
        <w:t xml:space="preserve"> in mind</w:t>
      </w:r>
      <w:r>
        <w:t xml:space="preserve">, </w:t>
      </w:r>
      <w:r w:rsidR="00FA01F3">
        <w:t xml:space="preserve">some </w:t>
      </w:r>
      <w:r w:rsidR="001700B5">
        <w:t>products, such as the lifetime ISA and junior ISA,</w:t>
      </w:r>
      <w:r w:rsidR="00FA01F3">
        <w:t xml:space="preserve"> have maximum annual contribution limits.</w:t>
      </w:r>
    </w:p>
    <w:p w14:paraId="483AC860" w14:textId="558419A9" w:rsidR="00FA01F3" w:rsidRDefault="00183123" w:rsidP="00FA01F3">
      <w:pPr>
        <w:pStyle w:val="Heading1"/>
      </w:pPr>
      <w:r>
        <w:t>Family tax planning</w:t>
      </w:r>
    </w:p>
    <w:p w14:paraId="516841CD" w14:textId="77777777" w:rsidR="00FA01F3" w:rsidRDefault="00FA01F3" w:rsidP="00FA01F3">
      <w:pPr>
        <w:pStyle w:val="Heading2"/>
      </w:pPr>
      <w:r>
        <w:t>Marriage allowance</w:t>
      </w:r>
    </w:p>
    <w:p w14:paraId="27B12ECA" w14:textId="77777777" w:rsidR="00FA01F3" w:rsidRDefault="00FA01F3" w:rsidP="00FA01F3">
      <w:r>
        <w:t>If you earn less than your spouse or civil partner, you can transfer £</w:t>
      </w:r>
      <w:r w:rsidR="00B67C8E">
        <w:t>1,250</w:t>
      </w:r>
      <w:r>
        <w:t xml:space="preserve"> of your personal allowance to them </w:t>
      </w:r>
      <w:r w:rsidR="00BD736A">
        <w:t xml:space="preserve">in 2019/20 </w:t>
      </w:r>
      <w:r w:rsidR="00B67C8E">
        <w:t>by taking advantage of</w:t>
      </w:r>
      <w:r>
        <w:t xml:space="preserve"> the marriage allowance.</w:t>
      </w:r>
    </w:p>
    <w:p w14:paraId="535CC2A4" w14:textId="2EE390E0" w:rsidR="00FA01F3" w:rsidRDefault="00BD736A" w:rsidP="00FA01F3">
      <w:r>
        <w:rPr>
          <w:shd w:val="clear" w:color="auto" w:fill="FFFFFF"/>
        </w:rPr>
        <w:t>You will need to earn less than £11,250 to be able to do this without paying any tax, but this can</w:t>
      </w:r>
      <w:r w:rsidR="00FA01F3">
        <w:t xml:space="preserve"> reduce their tax bill and can be backdated</w:t>
      </w:r>
      <w:r w:rsidR="00C56F7B">
        <w:t xml:space="preserve"> for four years</w:t>
      </w:r>
      <w:r w:rsidR="00FA01F3">
        <w:t>.</w:t>
      </w:r>
    </w:p>
    <w:p w14:paraId="223AC21F" w14:textId="224017C5" w:rsidR="00183123" w:rsidRDefault="00FA01F3" w:rsidP="00183123">
      <w:r>
        <w:t xml:space="preserve">The marriage allowance is </w:t>
      </w:r>
      <w:r w:rsidR="00C56F7B">
        <w:t>only available if one spouse or civil partner earns le</w:t>
      </w:r>
      <w:r w:rsidR="002E0F24">
        <w:t xml:space="preserve">ss than the personal allowance, and the other is a basic-rate taxpayer. </w:t>
      </w:r>
    </w:p>
    <w:p w14:paraId="317376BF" w14:textId="4335E791" w:rsidR="00FA01F3" w:rsidRDefault="00FA01F3" w:rsidP="00FA01F3">
      <w:pPr>
        <w:pStyle w:val="Heading2"/>
      </w:pPr>
      <w:r>
        <w:t xml:space="preserve">Inheritance </w:t>
      </w:r>
      <w:r w:rsidR="00BD736A">
        <w:t>and</w:t>
      </w:r>
      <w:r>
        <w:t xml:space="preserve"> the family home</w:t>
      </w:r>
    </w:p>
    <w:p w14:paraId="359F3B6E" w14:textId="77777777" w:rsidR="00BD736A" w:rsidRDefault="00BD736A" w:rsidP="00FA01F3">
      <w:r>
        <w:t>No inheritance tax is deducted from your estate if you were to die and leave your home to your spouse or civil partner in 2019/20.</w:t>
      </w:r>
    </w:p>
    <w:p w14:paraId="38B7ADB9" w14:textId="77777777" w:rsidR="00FA01F3" w:rsidRDefault="00FA01F3" w:rsidP="00FA01F3">
      <w:r>
        <w:t xml:space="preserve">If you pass it on to anyone else, such as a child or grandchild, it will be subject to inheritance tax if its value is above the threshold (£325,000) at the date of death. </w:t>
      </w:r>
    </w:p>
    <w:p w14:paraId="799065F9" w14:textId="05DE5F58" w:rsidR="00FA01F3" w:rsidRDefault="00183123" w:rsidP="00FA01F3">
      <w:r>
        <w:t>An additional allowance</w:t>
      </w:r>
      <w:r w:rsidR="00FA01F3">
        <w:t xml:space="preserve"> called the residence nil-rate band</w:t>
      </w:r>
      <w:r w:rsidR="00BD736A">
        <w:t>, which increased to £150,000 in April 2019</w:t>
      </w:r>
      <w:r>
        <w:t>,</w:t>
      </w:r>
      <w:r w:rsidR="00FA01F3">
        <w:t xml:space="preserve"> is available </w:t>
      </w:r>
      <w:r>
        <w:t>in certain circumstances</w:t>
      </w:r>
      <w:r w:rsidR="00FA01F3">
        <w:t>.</w:t>
      </w:r>
    </w:p>
    <w:p w14:paraId="33A50482" w14:textId="77777777" w:rsidR="00BD736A" w:rsidRDefault="00FA01F3" w:rsidP="00FA01F3">
      <w:r>
        <w:t>It works on top of the £325,000 basic nil-rate band when passing on the family home to your children or grandchildren</w:t>
      </w:r>
      <w:r w:rsidR="00FD1149">
        <w:t xml:space="preserve">, </w:t>
      </w:r>
      <w:r>
        <w:t>or other direct descendants</w:t>
      </w:r>
      <w:r w:rsidR="00BD736A">
        <w:t>.</w:t>
      </w:r>
    </w:p>
    <w:p w14:paraId="5CAABD3A" w14:textId="1BF9A147" w:rsidR="00FA01F3" w:rsidRDefault="00183123" w:rsidP="00FA01F3">
      <w:r>
        <w:lastRenderedPageBreak/>
        <w:t>Y</w:t>
      </w:r>
      <w:r w:rsidR="00FA01F3">
        <w:t>ou may be able to pass on the family home worth up to £4</w:t>
      </w:r>
      <w:r w:rsidR="00BD736A">
        <w:t>75</w:t>
      </w:r>
      <w:r w:rsidR="00FA01F3">
        <w:t>,000</w:t>
      </w:r>
      <w:r>
        <w:t xml:space="preserve"> –</w:t>
      </w:r>
      <w:r w:rsidR="002E0F24">
        <w:t xml:space="preserve"> </w:t>
      </w:r>
      <w:r>
        <w:t>£950,000 if you are married or in a civil partnership –</w:t>
      </w:r>
      <w:r w:rsidR="00FA01F3">
        <w:t xml:space="preserve"> in </w:t>
      </w:r>
      <w:r w:rsidR="00BD736A">
        <w:t>2019/20 without your estate being liable for inheritance tax</w:t>
      </w:r>
      <w:r w:rsidR="00FA01F3">
        <w:t>.</w:t>
      </w:r>
    </w:p>
    <w:p w14:paraId="1D2A3749" w14:textId="77777777" w:rsidR="00FA01F3" w:rsidRDefault="00FA01F3" w:rsidP="00FA01F3">
      <w:r>
        <w:t xml:space="preserve">A number of conditions apply, so be sure to seek </w:t>
      </w:r>
      <w:r w:rsidR="00BD736A">
        <w:t>professional</w:t>
      </w:r>
      <w:r>
        <w:t xml:space="preserve"> advice.</w:t>
      </w:r>
    </w:p>
    <w:p w14:paraId="77979D7E" w14:textId="77777777" w:rsidR="00FA01F3" w:rsidRDefault="00FA01F3" w:rsidP="00FA01F3">
      <w:pPr>
        <w:pStyle w:val="Heading1"/>
      </w:pPr>
      <w:r>
        <w:t>Pensions</w:t>
      </w:r>
    </w:p>
    <w:p w14:paraId="0E81F0E6" w14:textId="622863BB" w:rsidR="00317A9E" w:rsidRDefault="002E0F24" w:rsidP="00FA01F3">
      <w:r>
        <w:t xml:space="preserve">The annual pensions allowance enables you to contribute up to £40,000 in 2019/20, while you can also utilise any unused allowance from the last three tax years of an existing pension scheme. </w:t>
      </w:r>
    </w:p>
    <w:p w14:paraId="5E970A44" w14:textId="77777777" w:rsidR="00317A9E" w:rsidRDefault="00317A9E" w:rsidP="00FA01F3">
      <w:r>
        <w:t xml:space="preserve">If </w:t>
      </w:r>
      <w:proofErr w:type="gramStart"/>
      <w:r>
        <w:t>your</w:t>
      </w:r>
      <w:proofErr w:type="gramEnd"/>
      <w:r>
        <w:t xml:space="preserve"> adjusted income exceeds £150,000 in 2019/20, your annual </w:t>
      </w:r>
      <w:r w:rsidR="00774D6E">
        <w:t xml:space="preserve">allowance will be reduced by £1 for every £2 that exceeds this threshold down to a limit of £10,000. </w:t>
      </w:r>
    </w:p>
    <w:p w14:paraId="6371B648" w14:textId="77777777" w:rsidR="00774D6E" w:rsidRDefault="00774D6E" w:rsidP="00FA01F3">
      <w:r>
        <w:t xml:space="preserve">You will retain your entire allowance if your threshold income is lower than £110,000 in 2019/20. </w:t>
      </w:r>
    </w:p>
    <w:p w14:paraId="1C6AD15C" w14:textId="77777777" w:rsidR="00FA01F3" w:rsidRDefault="00FA01F3" w:rsidP="00FA01F3">
      <w:r>
        <w:t>However, if you have withdrawn any flexible benefits, the money purchase annual allowance of £4,000 will apply instead of the annual allowance.</w:t>
      </w:r>
    </w:p>
    <w:p w14:paraId="48EE6ACC" w14:textId="7D2669B7" w:rsidR="00FA01F3" w:rsidRDefault="00FA01F3" w:rsidP="00FA01F3">
      <w:r>
        <w:t>The total amount you can save into a pension over the course of your life increased to £1.0</w:t>
      </w:r>
      <w:r w:rsidR="00774D6E">
        <w:t>55</w:t>
      </w:r>
      <w:r>
        <w:t xml:space="preserve"> million for </w:t>
      </w:r>
      <w:r w:rsidR="00774D6E">
        <w:t>2019/20, although your</w:t>
      </w:r>
      <w:r>
        <w:t xml:space="preserve"> pension will tri</w:t>
      </w:r>
      <w:r w:rsidR="00774D6E">
        <w:t xml:space="preserve">gger an extra tax charge if </w:t>
      </w:r>
      <w:r w:rsidR="009B6575">
        <w:t xml:space="preserve">it </w:t>
      </w:r>
      <w:r w:rsidR="00774D6E">
        <w:t xml:space="preserve">exceeds this. </w:t>
      </w:r>
    </w:p>
    <w:p w14:paraId="7D83ECAC" w14:textId="77777777" w:rsidR="00FA01F3" w:rsidRPr="00E26FF8" w:rsidRDefault="00FA01F3" w:rsidP="00FA01F3">
      <w:pPr>
        <w:rPr>
          <w:i/>
        </w:rPr>
      </w:pPr>
      <w:r>
        <w:rPr>
          <w:i/>
        </w:rPr>
        <w:t>Speak to us about your personal tax planning.</w:t>
      </w:r>
    </w:p>
    <w:p w14:paraId="491B7726" w14:textId="77777777" w:rsidR="00FA01F3" w:rsidRPr="00FA01F3" w:rsidRDefault="00FA01F3">
      <w:pPr>
        <w:rPr>
          <w:i/>
        </w:rPr>
      </w:pPr>
    </w:p>
    <w:p w14:paraId="3DB6BF9A" w14:textId="77777777" w:rsidR="00FA01F3" w:rsidRDefault="00FA01F3"/>
    <w:p w14:paraId="26E145C6" w14:textId="77777777" w:rsidR="00FA01F3" w:rsidRDefault="00FA01F3"/>
    <w:sectPr w:rsidR="00FA01F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89C9B8" w15:done="0"/>
  <w15:commentEx w15:paraId="6D71368D" w15:done="0"/>
  <w15:commentEx w15:paraId="2B46C070" w15:done="0"/>
  <w15:commentEx w15:paraId="545158A3" w15:done="0"/>
  <w15:commentEx w15:paraId="4FC237C9" w15:done="0"/>
  <w15:commentEx w15:paraId="68E2FA4D" w15:done="0"/>
  <w15:commentEx w15:paraId="66A94578" w15:done="0"/>
  <w15:commentEx w15:paraId="50B5130B" w15:done="0"/>
  <w15:commentEx w15:paraId="4D2F3E6A" w15:done="0"/>
  <w15:commentEx w15:paraId="386BCD5D" w15:done="0"/>
  <w15:commentEx w15:paraId="175474E9" w15:done="0"/>
  <w15:commentEx w15:paraId="69861723" w15:done="0"/>
  <w15:commentEx w15:paraId="2ACAD12B" w15:done="0"/>
  <w15:commentEx w15:paraId="7033766B" w15:done="0"/>
  <w15:commentEx w15:paraId="07DCB6BE" w15:done="0"/>
  <w15:commentEx w15:paraId="689F6799" w15:done="0"/>
  <w15:commentEx w15:paraId="12166DD5" w15:done="0"/>
  <w15:commentEx w15:paraId="301726E8" w15:done="0"/>
  <w15:commentEx w15:paraId="6164DA10" w15:done="0"/>
  <w15:commentEx w15:paraId="029F15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89C9B8" w16cid:durableId="2038A7C1"/>
  <w16cid:commentId w16cid:paraId="6D71368D" w16cid:durableId="2038AB6A"/>
  <w16cid:commentId w16cid:paraId="2B46C070" w16cid:durableId="2038AB46"/>
  <w16cid:commentId w16cid:paraId="545158A3" w16cid:durableId="2038ABC4"/>
  <w16cid:commentId w16cid:paraId="4FC237C9" w16cid:durableId="2038ABD3"/>
  <w16cid:commentId w16cid:paraId="68E2FA4D" w16cid:durableId="2038AB58"/>
  <w16cid:commentId w16cid:paraId="66A94578" w16cid:durableId="2038ABE7"/>
  <w16cid:commentId w16cid:paraId="50B5130B" w16cid:durableId="203A1536"/>
  <w16cid:commentId w16cid:paraId="4D2F3E6A" w16cid:durableId="203A1591"/>
  <w16cid:commentId w16cid:paraId="386BCD5D" w16cid:durableId="2038AD93"/>
  <w16cid:commentId w16cid:paraId="175474E9" w16cid:durableId="2038B14C"/>
  <w16cid:commentId w16cid:paraId="69861723" w16cid:durableId="203A1539"/>
  <w16cid:commentId w16cid:paraId="2ACAD12B" w16cid:durableId="2038CF73"/>
  <w16cid:commentId w16cid:paraId="7033766B" w16cid:durableId="203A153D"/>
  <w16cid:commentId w16cid:paraId="07DCB6BE" w16cid:durableId="2038D355"/>
  <w16cid:commentId w16cid:paraId="689F6799" w16cid:durableId="2038D61F"/>
  <w16cid:commentId w16cid:paraId="12166DD5" w16cid:durableId="2038D544"/>
  <w16cid:commentId w16cid:paraId="301726E8" w16cid:durableId="2038D700"/>
  <w16cid:commentId w16cid:paraId="6164DA10" w16cid:durableId="203A1542"/>
  <w16cid:commentId w16cid:paraId="029F151F" w16cid:durableId="2038D8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E32FA"/>
    <w:multiLevelType w:val="multilevel"/>
    <w:tmpl w:val="A8AC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A6198E"/>
    <w:multiLevelType w:val="hybridMultilevel"/>
    <w:tmpl w:val="0EB44F34"/>
    <w:lvl w:ilvl="0" w:tplc="22E06C96">
      <w:start w:val="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FD4DBA"/>
    <w:multiLevelType w:val="hybridMultilevel"/>
    <w:tmpl w:val="549E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9A2E42"/>
    <w:multiLevelType w:val="multilevel"/>
    <w:tmpl w:val="9BC6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re King">
    <w15:presenceInfo w15:providerId="AD" w15:userId="S-1-5-21-3443891659-3438688259-298578279-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25"/>
    <w:rsid w:val="00005F5C"/>
    <w:rsid w:val="00040912"/>
    <w:rsid w:val="000B4911"/>
    <w:rsid w:val="000F79E1"/>
    <w:rsid w:val="00137A84"/>
    <w:rsid w:val="001700B5"/>
    <w:rsid w:val="00183123"/>
    <w:rsid w:val="001D6447"/>
    <w:rsid w:val="00243F0A"/>
    <w:rsid w:val="002B1337"/>
    <w:rsid w:val="002E0F24"/>
    <w:rsid w:val="002E2CC1"/>
    <w:rsid w:val="002E461D"/>
    <w:rsid w:val="0031589C"/>
    <w:rsid w:val="00317A9E"/>
    <w:rsid w:val="00363FBB"/>
    <w:rsid w:val="004069ED"/>
    <w:rsid w:val="0044522D"/>
    <w:rsid w:val="004A14F1"/>
    <w:rsid w:val="004D169B"/>
    <w:rsid w:val="00532EB8"/>
    <w:rsid w:val="0055478D"/>
    <w:rsid w:val="00576A23"/>
    <w:rsid w:val="005A6B52"/>
    <w:rsid w:val="005D5E44"/>
    <w:rsid w:val="0067463A"/>
    <w:rsid w:val="00774D6E"/>
    <w:rsid w:val="007C0DF0"/>
    <w:rsid w:val="007C2AA0"/>
    <w:rsid w:val="007E527A"/>
    <w:rsid w:val="00815FE6"/>
    <w:rsid w:val="0085058C"/>
    <w:rsid w:val="00875D22"/>
    <w:rsid w:val="00884036"/>
    <w:rsid w:val="008B4348"/>
    <w:rsid w:val="008C78D8"/>
    <w:rsid w:val="00902EC5"/>
    <w:rsid w:val="00917D4E"/>
    <w:rsid w:val="0096611E"/>
    <w:rsid w:val="009701F2"/>
    <w:rsid w:val="009A5FF2"/>
    <w:rsid w:val="009B6575"/>
    <w:rsid w:val="009C2A9D"/>
    <w:rsid w:val="00B67C8E"/>
    <w:rsid w:val="00BA3D64"/>
    <w:rsid w:val="00BB7B27"/>
    <w:rsid w:val="00BD736A"/>
    <w:rsid w:val="00C22472"/>
    <w:rsid w:val="00C37AB7"/>
    <w:rsid w:val="00C56F7B"/>
    <w:rsid w:val="00C67C58"/>
    <w:rsid w:val="00C845EC"/>
    <w:rsid w:val="00CC72DA"/>
    <w:rsid w:val="00D63875"/>
    <w:rsid w:val="00DA1149"/>
    <w:rsid w:val="00E1098B"/>
    <w:rsid w:val="00E66EBE"/>
    <w:rsid w:val="00E674E1"/>
    <w:rsid w:val="00F61A25"/>
    <w:rsid w:val="00FA01F3"/>
    <w:rsid w:val="00FA38AF"/>
    <w:rsid w:val="00FD1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0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01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01F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01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01F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01F3"/>
    <w:pPr>
      <w:ind w:left="720"/>
      <w:contextualSpacing/>
    </w:pPr>
  </w:style>
  <w:style w:type="table" w:styleId="TableGrid">
    <w:name w:val="Table Grid"/>
    <w:basedOn w:val="TableNormal"/>
    <w:uiPriority w:val="39"/>
    <w:rsid w:val="00FA0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01F3"/>
    <w:pPr>
      <w:spacing w:after="0" w:line="240" w:lineRule="auto"/>
    </w:pPr>
    <w:rPr>
      <w:rFonts w:eastAsiaTheme="minorEastAsia"/>
    </w:rPr>
  </w:style>
  <w:style w:type="paragraph" w:styleId="NormalWeb">
    <w:name w:val="Normal (Web)"/>
    <w:basedOn w:val="Normal"/>
    <w:uiPriority w:val="99"/>
    <w:semiHidden/>
    <w:unhideWhenUsed/>
    <w:rsid w:val="00FA01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01F3"/>
    <w:rPr>
      <w:color w:val="0000FF"/>
      <w:u w:val="single"/>
    </w:rPr>
  </w:style>
  <w:style w:type="character" w:styleId="CommentReference">
    <w:name w:val="annotation reference"/>
    <w:basedOn w:val="DefaultParagraphFont"/>
    <w:uiPriority w:val="99"/>
    <w:semiHidden/>
    <w:unhideWhenUsed/>
    <w:rsid w:val="007E527A"/>
    <w:rPr>
      <w:sz w:val="16"/>
      <w:szCs w:val="16"/>
    </w:rPr>
  </w:style>
  <w:style w:type="paragraph" w:styleId="CommentText">
    <w:name w:val="annotation text"/>
    <w:basedOn w:val="Normal"/>
    <w:link w:val="CommentTextChar"/>
    <w:uiPriority w:val="99"/>
    <w:semiHidden/>
    <w:unhideWhenUsed/>
    <w:rsid w:val="007E527A"/>
    <w:pPr>
      <w:spacing w:line="240" w:lineRule="auto"/>
    </w:pPr>
    <w:rPr>
      <w:sz w:val="20"/>
      <w:szCs w:val="20"/>
    </w:rPr>
  </w:style>
  <w:style w:type="character" w:customStyle="1" w:styleId="CommentTextChar">
    <w:name w:val="Comment Text Char"/>
    <w:basedOn w:val="DefaultParagraphFont"/>
    <w:link w:val="CommentText"/>
    <w:uiPriority w:val="99"/>
    <w:semiHidden/>
    <w:rsid w:val="007E527A"/>
    <w:rPr>
      <w:sz w:val="20"/>
      <w:szCs w:val="20"/>
    </w:rPr>
  </w:style>
  <w:style w:type="paragraph" w:styleId="CommentSubject">
    <w:name w:val="annotation subject"/>
    <w:basedOn w:val="CommentText"/>
    <w:next w:val="CommentText"/>
    <w:link w:val="CommentSubjectChar"/>
    <w:uiPriority w:val="99"/>
    <w:semiHidden/>
    <w:unhideWhenUsed/>
    <w:rsid w:val="007E527A"/>
    <w:rPr>
      <w:b/>
      <w:bCs/>
    </w:rPr>
  </w:style>
  <w:style w:type="character" w:customStyle="1" w:styleId="CommentSubjectChar">
    <w:name w:val="Comment Subject Char"/>
    <w:basedOn w:val="CommentTextChar"/>
    <w:link w:val="CommentSubject"/>
    <w:uiPriority w:val="99"/>
    <w:semiHidden/>
    <w:rsid w:val="007E527A"/>
    <w:rPr>
      <w:b/>
      <w:bCs/>
      <w:sz w:val="20"/>
      <w:szCs w:val="20"/>
    </w:rPr>
  </w:style>
  <w:style w:type="paragraph" w:styleId="BalloonText">
    <w:name w:val="Balloon Text"/>
    <w:basedOn w:val="Normal"/>
    <w:link w:val="BalloonTextChar"/>
    <w:uiPriority w:val="99"/>
    <w:semiHidden/>
    <w:unhideWhenUsed/>
    <w:rsid w:val="007E5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0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01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01F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01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01F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01F3"/>
    <w:pPr>
      <w:ind w:left="720"/>
      <w:contextualSpacing/>
    </w:pPr>
  </w:style>
  <w:style w:type="table" w:styleId="TableGrid">
    <w:name w:val="Table Grid"/>
    <w:basedOn w:val="TableNormal"/>
    <w:uiPriority w:val="39"/>
    <w:rsid w:val="00FA0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01F3"/>
    <w:pPr>
      <w:spacing w:after="0" w:line="240" w:lineRule="auto"/>
    </w:pPr>
    <w:rPr>
      <w:rFonts w:eastAsiaTheme="minorEastAsia"/>
    </w:rPr>
  </w:style>
  <w:style w:type="paragraph" w:styleId="NormalWeb">
    <w:name w:val="Normal (Web)"/>
    <w:basedOn w:val="Normal"/>
    <w:uiPriority w:val="99"/>
    <w:semiHidden/>
    <w:unhideWhenUsed/>
    <w:rsid w:val="00FA01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01F3"/>
    <w:rPr>
      <w:color w:val="0000FF"/>
      <w:u w:val="single"/>
    </w:rPr>
  </w:style>
  <w:style w:type="character" w:styleId="CommentReference">
    <w:name w:val="annotation reference"/>
    <w:basedOn w:val="DefaultParagraphFont"/>
    <w:uiPriority w:val="99"/>
    <w:semiHidden/>
    <w:unhideWhenUsed/>
    <w:rsid w:val="007E527A"/>
    <w:rPr>
      <w:sz w:val="16"/>
      <w:szCs w:val="16"/>
    </w:rPr>
  </w:style>
  <w:style w:type="paragraph" w:styleId="CommentText">
    <w:name w:val="annotation text"/>
    <w:basedOn w:val="Normal"/>
    <w:link w:val="CommentTextChar"/>
    <w:uiPriority w:val="99"/>
    <w:semiHidden/>
    <w:unhideWhenUsed/>
    <w:rsid w:val="007E527A"/>
    <w:pPr>
      <w:spacing w:line="240" w:lineRule="auto"/>
    </w:pPr>
    <w:rPr>
      <w:sz w:val="20"/>
      <w:szCs w:val="20"/>
    </w:rPr>
  </w:style>
  <w:style w:type="character" w:customStyle="1" w:styleId="CommentTextChar">
    <w:name w:val="Comment Text Char"/>
    <w:basedOn w:val="DefaultParagraphFont"/>
    <w:link w:val="CommentText"/>
    <w:uiPriority w:val="99"/>
    <w:semiHidden/>
    <w:rsid w:val="007E527A"/>
    <w:rPr>
      <w:sz w:val="20"/>
      <w:szCs w:val="20"/>
    </w:rPr>
  </w:style>
  <w:style w:type="paragraph" w:styleId="CommentSubject">
    <w:name w:val="annotation subject"/>
    <w:basedOn w:val="CommentText"/>
    <w:next w:val="CommentText"/>
    <w:link w:val="CommentSubjectChar"/>
    <w:uiPriority w:val="99"/>
    <w:semiHidden/>
    <w:unhideWhenUsed/>
    <w:rsid w:val="007E527A"/>
    <w:rPr>
      <w:b/>
      <w:bCs/>
    </w:rPr>
  </w:style>
  <w:style w:type="character" w:customStyle="1" w:styleId="CommentSubjectChar">
    <w:name w:val="Comment Subject Char"/>
    <w:basedOn w:val="CommentTextChar"/>
    <w:link w:val="CommentSubject"/>
    <w:uiPriority w:val="99"/>
    <w:semiHidden/>
    <w:rsid w:val="007E527A"/>
    <w:rPr>
      <w:b/>
      <w:bCs/>
      <w:sz w:val="20"/>
      <w:szCs w:val="20"/>
    </w:rPr>
  </w:style>
  <w:style w:type="paragraph" w:styleId="BalloonText">
    <w:name w:val="Balloon Text"/>
    <w:basedOn w:val="Normal"/>
    <w:link w:val="BalloonTextChar"/>
    <w:uiPriority w:val="99"/>
    <w:semiHidden/>
    <w:unhideWhenUsed/>
    <w:rsid w:val="007E5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54786">
      <w:bodyDiv w:val="1"/>
      <w:marLeft w:val="0"/>
      <w:marRight w:val="0"/>
      <w:marTop w:val="0"/>
      <w:marBottom w:val="0"/>
      <w:divBdr>
        <w:top w:val="none" w:sz="0" w:space="0" w:color="auto"/>
        <w:left w:val="none" w:sz="0" w:space="0" w:color="auto"/>
        <w:bottom w:val="none" w:sz="0" w:space="0" w:color="auto"/>
        <w:right w:val="none" w:sz="0" w:space="0" w:color="auto"/>
      </w:divBdr>
    </w:div>
    <w:div w:id="246617087">
      <w:bodyDiv w:val="1"/>
      <w:marLeft w:val="0"/>
      <w:marRight w:val="0"/>
      <w:marTop w:val="0"/>
      <w:marBottom w:val="0"/>
      <w:divBdr>
        <w:top w:val="none" w:sz="0" w:space="0" w:color="auto"/>
        <w:left w:val="none" w:sz="0" w:space="0" w:color="auto"/>
        <w:bottom w:val="none" w:sz="0" w:space="0" w:color="auto"/>
        <w:right w:val="none" w:sz="0" w:space="0" w:color="auto"/>
      </w:divBdr>
    </w:div>
    <w:div w:id="501051111">
      <w:bodyDiv w:val="1"/>
      <w:marLeft w:val="0"/>
      <w:marRight w:val="0"/>
      <w:marTop w:val="0"/>
      <w:marBottom w:val="0"/>
      <w:divBdr>
        <w:top w:val="none" w:sz="0" w:space="0" w:color="auto"/>
        <w:left w:val="none" w:sz="0" w:space="0" w:color="auto"/>
        <w:bottom w:val="none" w:sz="0" w:space="0" w:color="auto"/>
        <w:right w:val="none" w:sz="0" w:space="0" w:color="auto"/>
      </w:divBdr>
    </w:div>
    <w:div w:id="660625732">
      <w:bodyDiv w:val="1"/>
      <w:marLeft w:val="0"/>
      <w:marRight w:val="0"/>
      <w:marTop w:val="0"/>
      <w:marBottom w:val="0"/>
      <w:divBdr>
        <w:top w:val="none" w:sz="0" w:space="0" w:color="auto"/>
        <w:left w:val="none" w:sz="0" w:space="0" w:color="auto"/>
        <w:bottom w:val="none" w:sz="0" w:space="0" w:color="auto"/>
        <w:right w:val="none" w:sz="0" w:space="0" w:color="auto"/>
      </w:divBdr>
    </w:div>
    <w:div w:id="971524246">
      <w:bodyDiv w:val="1"/>
      <w:marLeft w:val="0"/>
      <w:marRight w:val="0"/>
      <w:marTop w:val="0"/>
      <w:marBottom w:val="0"/>
      <w:divBdr>
        <w:top w:val="none" w:sz="0" w:space="0" w:color="auto"/>
        <w:left w:val="none" w:sz="0" w:space="0" w:color="auto"/>
        <w:bottom w:val="none" w:sz="0" w:space="0" w:color="auto"/>
        <w:right w:val="none" w:sz="0" w:space="0" w:color="auto"/>
      </w:divBdr>
    </w:div>
    <w:div w:id="19830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v.scot/publications/scottish-income-tax-2019-2020/"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income-tax-personal-allowance-and-basic-rate-limit-from-2019-to-2020/income-tax-personal-allowance-and-basic-rate-limit-from-2019-20"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Martini</dc:creator>
  <cp:lastModifiedBy>James Martini</cp:lastModifiedBy>
  <cp:revision>6</cp:revision>
  <cp:lastPrinted>2019-03-18T09:21:00Z</cp:lastPrinted>
  <dcterms:created xsi:type="dcterms:W3CDTF">2019-03-26T09:44:00Z</dcterms:created>
  <dcterms:modified xsi:type="dcterms:W3CDTF">2019-05-01T10:07:00Z</dcterms:modified>
</cp:coreProperties>
</file>